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99"/>
        <w:jc w:val="center"/>
        <w:spacing w:lineRule="auto" w:line="240" w:after="0" w:before="0"/>
        <w:rPr>
          <w:rFonts w:ascii="Times New Roman" w:hAnsi="Times New Roman" w:cs="Times New Roman" w:eastAsia="Times New Roman"/>
          <w:sz w:val="24"/>
          <w:szCs w:val="24"/>
          <w:lang w:eastAsia="pt-BR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8795" cy="1169670"/>
                <wp:effectExtent l="0" t="0" r="0" b="0"/>
                <wp:docPr id="1" name="Imagem 1" descr="Escola Britânica de Artes Criativas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Escola Britânica de Artes Criativas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58795" cy="1169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40.8pt;height:92.1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99"/>
        <w:jc w:val="center"/>
        <w:spacing w:lineRule="auto" w:line="240" w:after="0" w:before="0"/>
        <w:rPr>
          <w:rFonts w:ascii="Times New Roman" w:hAnsi="Times New Roman" w:cs="Times New Roman" w:eastAsia="Times New Roman"/>
          <w:sz w:val="24"/>
          <w:szCs w:val="24"/>
          <w:lang w:eastAsia="pt-BR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pt-BR"/>
        </w:rPr>
      </w:r>
      <w:r/>
    </w:p>
    <w:p>
      <w:pPr>
        <w:pStyle w:val="799"/>
        <w:jc w:val="center"/>
        <w:spacing w:lineRule="auto" w:line="240" w:after="0" w:before="0"/>
        <w:rPr>
          <w:rFonts w:ascii="Times New Roman" w:hAnsi="Times New Roman" w:cs="Times New Roman" w:eastAsia="Times New Roman"/>
          <w:sz w:val="24"/>
          <w:szCs w:val="24"/>
          <w:lang w:eastAsia="pt-BR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pt-BR"/>
        </w:rPr>
      </w:r>
      <w:r/>
    </w:p>
    <w:p>
      <w:pPr>
        <w:pStyle w:val="799"/>
        <w:jc w:val="center"/>
        <w:spacing w:lineRule="auto" w:line="360"/>
        <w:rPr>
          <w:rFonts w:ascii="Arial" w:hAnsi="Arial" w:cs="Arial" w:eastAsia="Arial"/>
          <w:b/>
          <w:color w:val="000000"/>
          <w:sz w:val="24"/>
          <w:szCs w:val="24"/>
        </w:rPr>
      </w:pPr>
      <w:r>
        <w:rPr>
          <w:rFonts w:ascii="Arial" w:hAnsi="Arial" w:cs="Arial" w:eastAsia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4"/>
          <w:szCs w:val="24"/>
        </w:rPr>
        <w:t xml:space="preserve">QUALIDADE DE SOFTWARE</w:t>
      </w:r>
      <w:r/>
    </w:p>
    <w:p>
      <w:pPr>
        <w:pStyle w:val="799"/>
        <w:jc w:val="center"/>
        <w:spacing w:lineRule="auto" w:line="360"/>
        <w:rPr>
          <w:rFonts w:ascii="Arial" w:hAnsi="Arial" w:cs="Arial" w:eastAsia="Arial"/>
          <w:b/>
          <w:color w:val="000000"/>
          <w:sz w:val="24"/>
          <w:szCs w:val="24"/>
        </w:rPr>
      </w:pPr>
      <w:r>
        <w:rPr>
          <w:rFonts w:ascii="Arial" w:hAnsi="Arial" w:cs="Arial" w:eastAsia="Arial"/>
          <w:b/>
          <w:color w:val="000000" w:themeColor="text1"/>
          <w:sz w:val="24"/>
          <w:szCs w:val="24"/>
        </w:rPr>
      </w:r>
      <w:r/>
    </w:p>
    <w:p>
      <w:pPr>
        <w:pStyle w:val="799"/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  <w:t xml:space="preserve">Guilherme de Sousa</w:t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  <w:t xml:space="preserve">Análise de Qualidade </w:t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  <w:t xml:space="preserve">São Paulo </w:t>
      </w:r>
      <w:r/>
    </w:p>
    <w:p>
      <w:pPr>
        <w:pStyle w:val="799"/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  <w:highlight w:val="none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  <w:t xml:space="preserve">2022</w:t>
      </w:r>
      <w:r/>
    </w:p>
    <w:p>
      <w:pPr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/>
          <w:sz w:val="24"/>
          <w:szCs w:val="24"/>
        </w:rPr>
      </w:r>
      <w:r>
        <w:rPr>
          <w:rFonts w:ascii="Arial" w:hAnsi="Arial" w:cs="Arial" w:eastAsia="Arial"/>
          <w:color w:val="000000"/>
          <w:sz w:val="24"/>
          <w:szCs w:val="24"/>
        </w:rPr>
      </w:r>
      <w:r/>
    </w:p>
    <w:p>
      <w:pPr>
        <w:jc w:val="center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szCs w:val="24"/>
          <w:highlight w:val="none"/>
        </w:rPr>
      </w:r>
      <w:r/>
    </w:p>
    <w:p>
      <w:pPr>
        <w:pStyle w:val="800"/>
        <w:numPr>
          <w:ilvl w:val="0"/>
          <w:numId w:val="2"/>
        </w:numPr>
      </w:pPr>
      <w:r/>
      <w:bookmarkStart w:id="0" w:name="_Toc73287557"/>
      <w:r>
        <w:t xml:space="preserve">RESUMO</w:t>
      </w:r>
      <w:bookmarkEnd w:id="0"/>
      <w:r/>
      <w:r/>
    </w:p>
    <w:p>
      <w:pPr>
        <w:ind w:left="0" w:right="0" w:firstLine="0"/>
        <w:jc w:val="both"/>
        <w:spacing w:lineRule="auto" w:line="360" w:after="0" w:before="0"/>
        <w:rPr>
          <w:rFonts w:ascii="Arial" w:hAnsi="Arial" w:cs="Arial" w:eastAsia="Arial"/>
          <w:b w:val="false"/>
          <w:color w:val="000000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 w:val="false"/>
          <w:color w:val="000000" w:themeColor="text1"/>
          <w:sz w:val="24"/>
          <w:u w:val="none"/>
        </w:rPr>
        <w:br/>
        <w:t xml:space="preserve">MetaMask</w:t>
      </w:r>
      <w:r>
        <w:rPr>
          <w:rFonts w:ascii="Arial" w:hAnsi="Arial" w:cs="Arial" w:eastAsia="Arial"/>
          <w:b w:val="false"/>
          <w:color w:val="000000" w:themeColor="text1"/>
          <w:sz w:val="24"/>
          <w:u w:val="none"/>
        </w:rPr>
        <w:t xml:space="preserve"> é uma extensão ou plugin para navegadores da web que permite aos usuários interagir facilmente com os dApps do blockchain Ethereum. Isso é possível, pois </w:t>
      </w:r>
      <w:r>
        <w:rPr>
          <w:rFonts w:ascii="Arial" w:hAnsi="Arial" w:cs="Arial" w:eastAsia="Arial"/>
          <w:b w:val="false"/>
          <w:color w:val="000000" w:themeColor="text1"/>
          <w:sz w:val="24"/>
          <w:u w:val="none"/>
        </w:rPr>
        <w:t xml:space="preserve">MetaMask</w:t>
      </w:r>
      <w:r>
        <w:rPr>
          <w:rFonts w:ascii="Arial" w:hAnsi="Arial" w:cs="Arial" w:eastAsia="Arial"/>
          <w:b w:val="false"/>
          <w:color w:val="000000" w:themeColor="text1"/>
          <w:sz w:val="24"/>
          <w:u w:val="none"/>
        </w:rPr>
        <w:t xml:space="preserve"> atua como uma ponte entre dApps e navegadores web, facilitando seu uso e aproveitamento.</w:t>
      </w:r>
      <w:r>
        <w:rPr>
          <w:rFonts w:ascii="Arial" w:hAnsi="Arial" w:cs="Arial" w:eastAsia="Arial"/>
          <w:b w:val="false"/>
          <w:color w:val="000000" w:themeColor="text1"/>
          <w:u w:val="none"/>
        </w:rPr>
      </w:r>
      <w:r/>
    </w:p>
    <w:p>
      <w:pPr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 w:eastAsia="Arial"/>
          <w:color w:val="000000" w:themeColor="text1"/>
          <w:sz w:val="24"/>
          <w:szCs w:val="24"/>
          <w:highlight w:val="none"/>
        </w:rPr>
      </w:r>
      <w:r/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/>
    </w:p>
    <w:p>
      <w:pPr>
        <w:pStyle w:val="799"/>
        <w:jc w:val="both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 w:themeColor="text1"/>
          <w:sz w:val="24"/>
          <w:szCs w:val="24"/>
        </w:rPr>
      </w:r>
      <w:r>
        <w:br w:type="page"/>
      </w:r>
      <w:r/>
    </w:p>
    <w:p>
      <w:pPr>
        <w:pStyle w:val="800"/>
        <w:numPr>
          <w:ilvl w:val="0"/>
          <w:numId w:val="2"/>
        </w:numPr>
      </w:pPr>
      <w:r/>
      <w:bookmarkStart w:id="1" w:name="_Toc73287558"/>
      <w:r>
        <w:t xml:space="preserve">SUMÁRIO</w:t>
      </w:r>
      <w:bookmarkEnd w:id="1"/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18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rStyle w:val="808"/>
            </w:rPr>
            <w:instrText xml:space="preserve"> TOC \z \o "1-3" \u \h</w:instrText>
          </w:r>
          <w:r>
            <w:rPr>
              <w:rStyle w:val="808"/>
            </w:rPr>
            <w:fldChar w:fldCharType="separate"/>
          </w:r>
          <w:hyperlink w:tooltip="#_Toc73287557" w:anchor="_Toc73287557" w:history="1">
            <w:r>
              <w:rPr>
                <w:rStyle w:val="808"/>
              </w:rPr>
              <w:t xml:space="preserve">1.</w:t>
            </w:r>
            <w:r>
              <w:rPr>
                <w:rStyle w:val="808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8"/>
                <w:rFonts w:eastAsiaTheme="minorEastAsia"/>
              </w:rPr>
              <w:t xml:space="preserve">RESUMO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_Toc73287557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8"/>
                <w:rFonts w:eastAsiaTheme="minorEastAsia"/>
                <w:vanish w:val="false"/>
              </w:rPr>
              <w:tab/>
              <w:t xml:space="preserve">2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8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rPr>
              <w:rFonts w:eastAsiaTheme="minorEastAsia"/>
            </w:rPr>
          </w:r>
          <w:hyperlink w:tooltip="#_Toc73287558" w:anchor="_Toc73287558" w:history="1">
            <w:r>
              <w:rPr>
                <w:rStyle w:val="808"/>
                <w:rFonts w:eastAsiaTheme="minorEastAsia"/>
              </w:rPr>
              <w:t xml:space="preserve">2.</w:t>
            </w:r>
            <w:r>
              <w:rPr>
                <w:rStyle w:val="808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8"/>
                <w:rFonts w:eastAsiaTheme="minorEastAsia"/>
              </w:rPr>
              <w:t xml:space="preserve">SUMÁRIO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_Toc73287558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8"/>
                <w:rFonts w:eastAsiaTheme="minorEastAsia"/>
                <w:vanish w:val="false"/>
              </w:rPr>
              <w:tab/>
              <w:t xml:space="preserve">3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8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rPr>
              <w:rFonts w:eastAsiaTheme="minorEastAsia"/>
            </w:rPr>
          </w:r>
          <w:hyperlink w:tooltip="#_Toc73287559" w:anchor="_Toc73287559" w:history="1">
            <w:r>
              <w:rPr>
                <w:rStyle w:val="808"/>
                <w:rFonts w:eastAsiaTheme="minorEastAsia"/>
              </w:rPr>
              <w:t xml:space="preserve">3.</w:t>
            </w:r>
            <w:r>
              <w:rPr>
                <w:rStyle w:val="808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8"/>
                <w:rFonts w:eastAsiaTheme="minorEastAsia"/>
              </w:rPr>
              <w:t xml:space="preserve">INTRODUÇÃO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_Toc73287559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8"/>
                <w:rFonts w:eastAsiaTheme="minorEastAsia"/>
                <w:vanish w:val="false"/>
              </w:rPr>
              <w:tab/>
              <w:t xml:space="preserve">4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8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rPr>
              <w:rFonts w:eastAsiaTheme="minorEastAsia"/>
            </w:rPr>
          </w:r>
          <w:hyperlink w:tooltip="#_Toc73287560" w:anchor="_Toc73287560" w:history="1">
            <w:r>
              <w:rPr>
                <w:rStyle w:val="808"/>
                <w:rFonts w:eastAsiaTheme="minorEastAsia"/>
              </w:rPr>
              <w:t xml:space="preserve">4.</w:t>
            </w:r>
            <w:r>
              <w:rPr>
                <w:rStyle w:val="808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8"/>
                <w:rFonts w:eastAsiaTheme="minorEastAsia"/>
              </w:rPr>
              <w:t xml:space="preserve">O PROJETO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_Toc73287560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8"/>
                <w:rFonts w:eastAsiaTheme="minorEastAsia"/>
                <w:vanish w:val="false"/>
              </w:rPr>
              <w:tab/>
              <w:t xml:space="preserve">5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9"/>
            <w:tabs>
              <w:tab w:val="clear" w:pos="708" w:leader="none"/>
              <w:tab w:val="left" w:pos="880" w:leader="none"/>
              <w:tab w:val="right" w:pos="8494" w:leader="dot"/>
            </w:tabs>
            <w:rPr>
              <w:rFonts w:eastAsiaTheme="minorEastAsia"/>
              <w:b w:val="false"/>
              <w:bCs w:val="false"/>
              <w:sz w:val="24"/>
              <w:szCs w:val="24"/>
              <w:lang w:eastAsia="pt-BR"/>
            </w:rPr>
          </w:pPr>
          <w:r>
            <w:rPr>
              <w:rFonts w:eastAsiaTheme="minorEastAsia"/>
            </w:rPr>
          </w:r>
          <w:hyperlink w:tooltip="#_Toc73287561" w:anchor="_Toc73287561" w:history="1">
            <w:r>
              <w:rPr>
                <w:rStyle w:val="808"/>
                <w:rFonts w:eastAsiaTheme="minorEastAsia"/>
              </w:rPr>
              <w:t xml:space="preserve">4.1</w:t>
            </w:r>
            <w:r>
              <w:rPr>
                <w:rStyle w:val="808"/>
                <w:rFonts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808"/>
                <w:rFonts w:eastAsiaTheme="minorEastAsia"/>
              </w:rPr>
              <w:t xml:space="preserve">Detalhes do produto ou serviço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_Toc73287561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8"/>
                <w:rFonts w:eastAsiaTheme="minorEastAsia"/>
                <w:vanish w:val="false"/>
              </w:rPr>
              <w:tab/>
              <w:t xml:space="preserve">5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9"/>
            <w:tabs>
              <w:tab w:val="clear" w:pos="708" w:leader="none"/>
              <w:tab w:val="left" w:pos="880" w:leader="none"/>
              <w:tab w:val="right" w:pos="8494" w:leader="dot"/>
            </w:tabs>
            <w:rPr>
              <w:rFonts w:eastAsiaTheme="minorEastAsia"/>
              <w:b w:val="false"/>
              <w:bCs w:val="false"/>
              <w:sz w:val="24"/>
              <w:szCs w:val="24"/>
              <w:lang w:eastAsia="pt-BR"/>
            </w:rPr>
          </w:pPr>
          <w:r>
            <w:rPr>
              <w:rFonts w:eastAsiaTheme="minorEastAsia"/>
            </w:rPr>
          </w:r>
          <w:hyperlink w:tooltip="#_Toc73287562" w:anchor="_Toc73287562" w:history="1">
            <w:r>
              <w:rPr>
                <w:rStyle w:val="808"/>
                <w:rFonts w:eastAsiaTheme="minorEastAsia"/>
              </w:rPr>
              <w:t xml:space="preserve">4.2</w:t>
            </w:r>
            <w:r>
              <w:rPr>
                <w:rStyle w:val="808"/>
                <w:rFonts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808"/>
                <w:rFonts w:eastAsiaTheme="minorEastAsia"/>
              </w:rPr>
              <w:t xml:space="preserve">Tabela de Análise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_Toc73287562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8"/>
                <w:rFonts w:eastAsiaTheme="minorEastAsia"/>
                <w:vanish w:val="false"/>
              </w:rPr>
              <w:tab/>
              <w:t xml:space="preserve">5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9"/>
            <w:tabs>
              <w:tab w:val="clear" w:pos="708" w:leader="none"/>
              <w:tab w:val="left" w:pos="880" w:leader="none"/>
              <w:tab w:val="right" w:pos="8494" w:leader="dot"/>
            </w:tabs>
            <w:rPr>
              <w:rFonts w:eastAsiaTheme="minorEastAsia"/>
              <w:b w:val="false"/>
              <w:bCs w:val="false"/>
              <w:sz w:val="24"/>
              <w:szCs w:val="24"/>
              <w:lang w:eastAsia="pt-BR"/>
            </w:rPr>
          </w:pPr>
          <w:r>
            <w:rPr>
              <w:rFonts w:eastAsiaTheme="minorEastAsia"/>
            </w:rPr>
          </w:r>
          <w:hyperlink w:tooltip="#_Toc73287563" w:anchor="_Toc73287563" w:history="1">
            <w:r>
              <w:rPr>
                <w:rStyle w:val="808"/>
                <w:rFonts w:eastAsiaTheme="minorEastAsia"/>
              </w:rPr>
              <w:t xml:space="preserve">4.3</w:t>
            </w:r>
            <w:r>
              <w:rPr>
                <w:rStyle w:val="808"/>
                <w:rFonts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808"/>
                <w:rFonts w:eastAsiaTheme="minorEastAsia"/>
              </w:rPr>
              <w:t xml:space="preserve">Relatório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_Toc73287563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8"/>
                <w:rFonts w:eastAsiaTheme="minorEastAsia"/>
                <w:vanish w:val="false"/>
              </w:rPr>
              <w:tab/>
              <w:t xml:space="preserve">6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9"/>
            <w:tabs>
              <w:tab w:val="clear" w:pos="708" w:leader="none"/>
              <w:tab w:val="left" w:pos="880" w:leader="none"/>
              <w:tab w:val="right" w:pos="8494" w:leader="dot"/>
            </w:tabs>
            <w:rPr>
              <w:rFonts w:eastAsiaTheme="minorEastAsia"/>
              <w:b w:val="false"/>
              <w:bCs w:val="false"/>
              <w:sz w:val="24"/>
              <w:szCs w:val="24"/>
              <w:lang w:eastAsia="pt-BR"/>
            </w:rPr>
          </w:pPr>
          <w:r>
            <w:rPr>
              <w:rFonts w:eastAsiaTheme="minorEastAsia"/>
            </w:rPr>
          </w:r>
          <w:hyperlink w:tooltip="#_Toc73287564" w:anchor="_Toc73287564" w:history="1">
            <w:r>
              <w:rPr>
                <w:rStyle w:val="808"/>
                <w:rFonts w:eastAsiaTheme="minorEastAsia"/>
              </w:rPr>
              <w:t xml:space="preserve">4.4</w:t>
            </w:r>
            <w:r>
              <w:rPr>
                <w:rStyle w:val="808"/>
                <w:rFonts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808"/>
                <w:rFonts w:eastAsiaTheme="minorEastAsia"/>
              </w:rPr>
              <w:t xml:space="preserve">Evidências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_Toc73287564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8"/>
                <w:rFonts w:eastAsiaTheme="minorEastAsia"/>
                <w:vanish w:val="false"/>
              </w:rPr>
              <w:tab/>
              <w:t xml:space="preserve">7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9"/>
            <w:tabs>
              <w:tab w:val="clear" w:pos="708" w:leader="none"/>
              <w:tab w:val="left" w:pos="880" w:leader="none"/>
              <w:tab w:val="right" w:pos="8494" w:leader="dot"/>
            </w:tabs>
            <w:rPr>
              <w:rFonts w:eastAsiaTheme="minorEastAsia"/>
              <w:b w:val="false"/>
              <w:bCs w:val="false"/>
              <w:sz w:val="24"/>
              <w:szCs w:val="24"/>
              <w:lang w:eastAsia="pt-BR"/>
            </w:rPr>
          </w:pPr>
          <w:r>
            <w:rPr>
              <w:rFonts w:eastAsiaTheme="minorEastAsia"/>
            </w:rPr>
          </w:r>
          <w:hyperlink w:tooltip="#_Toc73287565" w:anchor="_Toc73287565" w:history="1">
            <w:r>
              <w:rPr>
                <w:rStyle w:val="808"/>
                <w:rFonts w:eastAsiaTheme="minorEastAsia"/>
              </w:rPr>
              <w:t xml:space="preserve">4.5</w:t>
            </w:r>
            <w:r>
              <w:rPr>
                <w:rStyle w:val="808"/>
                <w:rFonts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808"/>
                <w:rFonts w:eastAsiaTheme="minorEastAsia"/>
              </w:rPr>
              <w:t xml:space="preserve">Onde encontrar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_Toc73287565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8"/>
                <w:rFonts w:eastAsiaTheme="minorEastAsia"/>
                <w:vanish w:val="false"/>
              </w:rPr>
              <w:tab/>
              <w:t xml:space="preserve">8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8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rPr>
              <w:rFonts w:eastAsiaTheme="minorEastAsia"/>
            </w:rPr>
          </w:r>
          <w:hyperlink w:tooltip="#_Toc73287566" w:anchor="_Toc73287566" w:history="1">
            <w:r>
              <w:rPr>
                <w:rStyle w:val="808"/>
                <w:rFonts w:eastAsiaTheme="minorEastAsia"/>
              </w:rPr>
              <w:t xml:space="preserve">5.</w:t>
            </w:r>
            <w:r>
              <w:rPr>
                <w:rStyle w:val="808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8"/>
                <w:rFonts w:eastAsiaTheme="minorEastAsia"/>
              </w:rPr>
              <w:t xml:space="preserve">CONCLUSÃO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_Toc73287566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8"/>
                <w:rFonts w:eastAsiaTheme="minorEastAsia"/>
                <w:vanish w:val="false"/>
              </w:rPr>
              <w:tab/>
              <w:t xml:space="preserve">8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  <w:p>
          <w:pPr>
            <w:pStyle w:val="818"/>
            <w:tabs>
              <w:tab w:val="left" w:pos="440" w:leader="none"/>
              <w:tab w:val="clear" w:pos="708" w:leader="none"/>
              <w:tab w:val="right" w:pos="8494" w:leader="dot"/>
            </w:tabs>
            <w:rPr>
              <w:rFonts w:eastAsiaTheme="minorEastAsia"/>
              <w:b w:val="false"/>
              <w:bCs w:val="false"/>
              <w:i w:val="false"/>
              <w:iCs w:val="false"/>
              <w:lang w:eastAsia="pt-BR"/>
            </w:rPr>
          </w:pPr>
          <w:r>
            <w:rPr>
              <w:rFonts w:eastAsiaTheme="minorEastAsia"/>
            </w:rPr>
          </w:r>
          <w:hyperlink w:tooltip="#_Toc73287567" w:anchor="_Toc73287567" w:history="1">
            <w:r>
              <w:rPr>
                <w:rStyle w:val="808"/>
                <w:rFonts w:eastAsiaTheme="minorEastAsia"/>
              </w:rPr>
              <w:t xml:space="preserve">6.</w:t>
            </w:r>
            <w:r>
              <w:rPr>
                <w:rStyle w:val="808"/>
                <w:rFonts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808"/>
                <w:rFonts w:eastAsiaTheme="minorEastAsia"/>
              </w:rPr>
              <w:t xml:space="preserve">REFERÊNCIAS BIBLIOGRÁFICAS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PAGEREF _Toc73287567 \h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Style w:val="808"/>
                <w:rFonts w:eastAsiaTheme="minorEastAsia"/>
                <w:vanish w:val="false"/>
              </w:rPr>
              <w:tab/>
              <w:t xml:space="preserve">8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Style w:val="808"/>
              <w:rFonts w:eastAsiaTheme="minorEastAsia"/>
              <w:vanish w:val="false"/>
            </w:rPr>
            <w:fldChar w:fldCharType="end"/>
          </w:r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</w:sdtContent>
    </w:sdt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00"/>
        <w:numPr>
          <w:ilvl w:val="0"/>
          <w:numId w:val="2"/>
        </w:numPr>
      </w:pPr>
      <w:r>
        <w:rPr>
          <w:rFonts w:eastAsiaTheme="minorEastAsia"/>
        </w:rPr>
      </w:r>
      <w:bookmarkStart w:id="2" w:name="_Toc73287559"/>
      <w:r>
        <w:rPr>
          <w:rFonts w:eastAsiaTheme="minorEastAsia"/>
        </w:rPr>
        <w:t xml:space="preserve">INTRODUÇÃO</w:t>
      </w:r>
      <w:bookmarkEnd w:id="2"/>
      <w:r>
        <w:rPr>
          <w:rFonts w:eastAsiaTheme="minorEastAsia"/>
        </w:rPr>
      </w:r>
      <w:r>
        <w:rPr>
          <w:rFonts w:eastAsiaTheme="minorEastAsia"/>
        </w:rPr>
      </w:r>
    </w:p>
    <w:p>
      <w:pPr>
        <w:ind w:left="0" w:right="0" w:firstLine="0"/>
        <w:jc w:val="both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MetaMask é uma carteira com armazenamento quente, sendo acessível através de um aplicativo e navegadores Web. No começo, a carteira contava apenas como uma extensão de navegador, que facilitava a conectividade entre a blockchain e o navegador.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ind w:left="0" w:right="0" w:firstLine="0"/>
        <w:jc w:val="both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Dessa maneira, ao usar sua carteira MetaMask, você pode acessar vários recursos da blockchain Ethereum através do seu navegador regular suportado como o Chrome. Nesse sentido, é um produto essencial para qualquer entusiasta de criptomoedas.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ind w:left="0" w:right="0" w:firstLine="0"/>
        <w:jc w:val="both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Isso porque fornece recursos avançados de segurança para armazenar tokens ERC-20 com segurança, além de oferecer uma maneira eficiente de interagir com a blockchain Ethereum.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ind w:left="0" w:right="0" w:firstLine="0"/>
        <w:jc w:val="both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Em termos de segurança, a carteira MetaMask oferece configurações HD, shorts para configurações determinísticas hierárquicas. Usando este recurso especial, o MetaMask fornece frases de sementes que são essencialmente úteis na redefinição de contas em caso 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de informações perdidas ou senhas.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ind w:left="0" w:right="0" w:firstLine="0"/>
        <w:jc w:val="both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Além disso, a carteira MetaMask oferece a flexibilidade necessária para comprar criptomoedas diretamente em sua carteira. Outro detalhe interessante é que a MetaMask tem uma integração perfeita, com exchanges como a ShapeShift e a </w:t>
      </w:r>
      <w:hyperlink r:id="rId12" w:tooltip="https://guiadoinvestidor.com.br/tag/coinbase" w:history="1">
        <w:r>
          <w:rPr>
            <w:rStyle w:val="803"/>
            <w:rFonts w:ascii="Arial" w:hAnsi="Arial" w:cs="Arial" w:eastAsia="Arial" w:eastAsiaTheme="minorEastAsia"/>
            <w:color w:val="000000" w:themeColor="text1"/>
            <w:sz w:val="24"/>
          </w:rPr>
          <w:t xml:space="preserve">Coinbase</w:t>
        </w:r>
      </w:hyperlink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, que são algumas das principais plataformas de câmbio cripto atualmente.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00"/>
        <w:numPr>
          <w:ilvl w:val="0"/>
          <w:numId w:val="2"/>
        </w:numPr>
      </w:pPr>
      <w:r>
        <w:rPr>
          <w:rFonts w:eastAsiaTheme="minorEastAsia"/>
        </w:rPr>
      </w:r>
      <w:bookmarkStart w:id="3" w:name="_Toc73287560"/>
      <w:r>
        <w:rPr>
          <w:rFonts w:eastAsiaTheme="minorEastAsia"/>
        </w:rPr>
        <w:t xml:space="preserve">O PROJETO</w:t>
      </w:r>
      <w:bookmarkEnd w:id="3"/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01"/>
        <w:numPr>
          <w:ilvl w:val="1"/>
          <w:numId w:val="2"/>
        </w:numPr>
      </w:pPr>
      <w:r>
        <w:rPr>
          <w:rFonts w:eastAsiaTheme="minorEastAsia"/>
        </w:rPr>
      </w:r>
      <w:bookmarkStart w:id="4" w:name="_Toc73287561"/>
      <w:r>
        <w:rPr>
          <w:rFonts w:eastAsiaTheme="minorEastAsia"/>
        </w:rPr>
        <w:t xml:space="preserve">Detalhes do produto ou serviço</w:t>
      </w:r>
      <w:bookmarkEnd w:id="4"/>
      <w:r>
        <w:rPr>
          <w:rFonts w:eastAsiaTheme="minorEastAsia"/>
        </w:rPr>
      </w:r>
      <w:r>
        <w:rPr>
          <w:rFonts w:eastAsiaTheme="minorEastAsia"/>
        </w:rPr>
      </w:r>
    </w:p>
    <w:tbl>
      <w:tblPr>
        <w:tblW w:w="9351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3822"/>
        <w:gridCol w:w="5528"/>
      </w:tblGrid>
      <w:tr>
        <w:trPr>
          <w:trHeight w:val="599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822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Nome do produto ou serviço: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 w:val="false"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false"/>
                <w:color w:val="000000" w:themeColor="text1"/>
                <w:sz w:val="24"/>
                <w:szCs w:val="24"/>
              </w:rPr>
              <w:t xml:space="preserve">Metamask</w:t>
            </w:r>
            <w:r>
              <w:rPr>
                <w:b w:val="fals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822" w:type="dxa"/>
            <w:textDirection w:val="lrTb"/>
            <w:noWrap w:val="false"/>
          </w:tcPr>
          <w:p>
            <w:pPr>
              <w:pStyle w:val="799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Fabricante: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 w:eastAsia="Arial"/>
                <w:b w:val="false"/>
                <w:color w:val="000000" w:themeColor="text1"/>
                <w:sz w:val="24"/>
                <w:szCs w:val="24"/>
              </w:rPr>
              <w:t xml:space="preserve">https://metamask.io/</w:t>
            </w:r>
            <w:r>
              <w:rPr>
                <w:rFonts w:ascii="Arial" w:hAnsi="Arial" w:cs="Arial" w:eastAsia="Arial"/>
                <w:b w:val="false"/>
                <w:color w:val="000000" w:themeColor="text1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822" w:type="dxa"/>
            <w:textDirection w:val="lrTb"/>
            <w:noWrap w:val="false"/>
          </w:tcPr>
          <w:p>
            <w:pPr>
              <w:pStyle w:val="799"/>
              <w:spacing w:lineRule="auto" w:line="36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Tempo de uso:</w:t>
            </w:r>
            <w:r/>
          </w:p>
          <w:p>
            <w:pPr>
              <w:pStyle w:val="799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  <w:t xml:space="preserve">2 anos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822" w:type="dxa"/>
            <w:textDirection w:val="lrTb"/>
            <w:noWrap w:val="false"/>
          </w:tcPr>
          <w:p>
            <w:pPr>
              <w:pStyle w:val="799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Outros detalhes relevantes sobre o produto: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28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 w:val="false"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false"/>
                <w:color w:val="000000" w:themeColor="text1"/>
                <w:sz w:val="24"/>
                <w:szCs w:val="24"/>
              </w:rPr>
              <w:t xml:space="preserve">Aplicação de uso decentralizado de operações de criptoativos</w:t>
            </w:r>
            <w:r>
              <w:rPr>
                <w:b w:val="false"/>
              </w:rPr>
            </w:r>
            <w:r/>
          </w:p>
        </w:tc>
      </w:tr>
    </w:tbl>
    <w:p>
      <w:pPr>
        <w:pStyle w:val="799"/>
        <w:jc w:val="both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01"/>
        <w:numPr>
          <w:ilvl w:val="1"/>
          <w:numId w:val="2"/>
        </w:numPr>
      </w:pPr>
      <w:r>
        <w:rPr>
          <w:rFonts w:eastAsiaTheme="minorEastAsia"/>
        </w:rPr>
      </w:r>
      <w:bookmarkStart w:id="5" w:name="_Toc73287562"/>
      <w:r>
        <w:rPr>
          <w:rFonts w:eastAsiaTheme="minorEastAsia"/>
        </w:rPr>
        <w:t xml:space="preserve">Tabela de Análise</w:t>
      </w:r>
      <w:bookmarkEnd w:id="5"/>
      <w:r>
        <w:rPr>
          <w:rFonts w:eastAsiaTheme="minorEastAsia"/>
        </w:rPr>
      </w:r>
      <w:r>
        <w:rPr>
          <w:rFonts w:eastAsiaTheme="minorEastAsia"/>
        </w:rPr>
      </w:r>
    </w:p>
    <w:tbl>
      <w:tblPr>
        <w:tblW w:w="949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>
        <w:trPr>
          <w:trHeight w:val="560"/>
        </w:trPr>
        <w:tc>
          <w:tcPr>
            <w:shd w:val="clear" w:fill="D9D9D9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Style w:val="799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Característica</w:t>
            </w:r>
            <w:r/>
          </w:p>
        </w:tc>
        <w:tc>
          <w:tcPr>
            <w:shd w:val="clear" w:fill="D9D9D9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Sua percepção</w:t>
            </w:r>
            <w:r/>
          </w:p>
        </w:tc>
        <w:tc>
          <w:tcPr>
            <w:shd w:val="clear" w:fill="D9D9D9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Referência da evidência [caso tenha]</w:t>
            </w:r>
            <w:r/>
          </w:p>
        </w:tc>
      </w:tr>
      <w:tr>
        <w:trPr>
          <w:trHeight w:val="135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Style w:val="799"/>
              <w:spacing w:lineRule="auto" w:line="36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Usabilidade:</w:t>
            </w:r>
            <w:r/>
          </w:p>
          <w:p>
            <w:pPr>
              <w:pStyle w:val="799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  <w:t xml:space="preserve">Fácil e intuitiva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  <w:highlight w:val="yellow"/>
              </w:rPr>
            </w:r>
            <w:r/>
          </w:p>
        </w:tc>
      </w:tr>
      <w:tr>
        <w:trPr>
          <w:trHeight w:val="136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Style w:val="799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Matéria prima: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  <w:t xml:space="preserve">-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</w:r>
            <w:r/>
          </w:p>
        </w:tc>
      </w:tr>
      <w:tr>
        <w:trPr>
          <w:trHeight w:val="216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Style w:val="799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Performance: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  <w:t xml:space="preserve">Extensão com transações rápidas , principalmente pelo desempenho da rede utilizada na blockchain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</w:r>
            <w:r/>
          </w:p>
        </w:tc>
      </w:tr>
      <w:tr>
        <w:trPr>
          <w:trHeight w:val="217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80" w:type="dxa"/>
            <w:textDirection w:val="lrTb"/>
            <w:noWrap w:val="false"/>
          </w:tcPr>
          <w:p>
            <w:pPr>
              <w:pStyle w:val="799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4"/>
                <w:szCs w:val="24"/>
              </w:rPr>
              <w:t xml:space="preserve">Design: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  <w:t xml:space="preserve">Design simples e amigável, tornando a experiência do usuário positiva e gerando retenção.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44" w:type="dxa"/>
            <w:textDirection w:val="lrTb"/>
            <w:noWrap w:val="false"/>
          </w:tcPr>
          <w:p>
            <w:pPr>
              <w:pStyle w:val="799"/>
              <w:jc w:val="both"/>
              <w:spacing w:lineRule="auto" w:line="360" w:after="160" w:before="0"/>
              <w:rPr>
                <w:rFonts w:ascii="Arial" w:hAnsi="Arial" w:cs="Arial" w:eastAsia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10301" cy="4648200"/>
                      <wp:effectExtent l="0" t="0" r="0" b="0"/>
                      <wp:docPr id="2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210300" cy="46481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52.8pt;height:366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Arial" w:hAnsi="Arial" w:cs="Arial" w:eastAsia="Arial"/>
                <w:bCs/>
                <w:color w:val="000000" w:themeColor="text1"/>
                <w:sz w:val="24"/>
                <w:szCs w:val="24"/>
              </w:rPr>
            </w:r>
            <w:r/>
          </w:p>
        </w:tc>
      </w:tr>
    </w:tbl>
    <w:p>
      <w:pPr>
        <w:pStyle w:val="799"/>
        <w:jc w:val="both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01"/>
        <w:numPr>
          <w:ilvl w:val="1"/>
          <w:numId w:val="2"/>
        </w:numPr>
      </w:pPr>
      <w:r>
        <w:rPr>
          <w:rFonts w:eastAsiaTheme="minorEastAsia"/>
        </w:rPr>
        <w:t xml:space="preserve"> </w:t>
      </w:r>
      <w:bookmarkStart w:id="6" w:name="_Toc73287563"/>
      <w:r>
        <w:rPr>
          <w:rFonts w:eastAsiaTheme="minorEastAsia"/>
        </w:rPr>
        <w:t xml:space="preserve">Relatório</w:t>
      </w:r>
      <w:bookmarkEnd w:id="6"/>
      <w:r>
        <w:rPr>
          <w:rFonts w:eastAsiaTheme="minorEastAsia"/>
        </w:rPr>
        <w:t xml:space="preserve">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14"/>
        <w:numPr>
          <w:ilvl w:val="0"/>
          <w:numId w:val="3"/>
        </w:numPr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  <w:t xml:space="preserve">O item analisado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ind w:left="720" w:firstLine="0"/>
        <w:jc w:val="both"/>
        <w:spacing w:lineRule="auto" w:line="360"/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none"/>
        </w:rPr>
        <w:t xml:space="preserve">Uma das grandes dúvidas sobre as carteira cripto é a segurança, já que não há onde reclamar quando se perde seus ativos, com isso, Metamask é seguro, é confiável?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ind w:left="720" w:firstLine="0"/>
        <w:jc w:val="both"/>
        <w:spacing w:lineRule="auto" w:line="360"/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none"/>
        </w:rPr>
        <w:t xml:space="preserve">O</w:t>
      </w: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none"/>
        </w:rPr>
        <w:t xml:space="preserve"> primeiro passo antes de questionar se a Metamask é seguro, ou se é confiável. É importante entender quais carteiras tem disponíveis no mercado, para você conseguir ver quais níveis de segurança, você tem acesso. Isso porque é normal que as carteiras de ha</w:t>
      </w: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none"/>
        </w:rPr>
        <w:t xml:space="preserve">rdware são mais seguro do que carteiras softwares.</w:t>
      </w: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none"/>
        </w:rPr>
      </w:r>
      <w:r>
        <w:rPr>
          <w:rFonts w:eastAsiaTheme="minorEastAsia"/>
        </w:rPr>
      </w:r>
    </w:p>
    <w:p>
      <w:pPr>
        <w:pStyle w:val="814"/>
        <w:numPr>
          <w:ilvl w:val="0"/>
          <w:numId w:val="3"/>
        </w:numPr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  <w:t xml:space="preserve">A frequência com que usa o item</w:t>
        <w:br/>
        <w:br/>
        <w:t xml:space="preserve">Utilizo diariamente este recurso, por questões das transações de compra e venda de criptoativos.</w:t>
        <w:br/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14"/>
        <w:numPr>
          <w:ilvl w:val="0"/>
          <w:numId w:val="3"/>
        </w:numPr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  <w:t xml:space="preserve">Suas percepções sobre o item analisado.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ind w:left="0" w:right="0" w:firstLine="0"/>
        <w:jc w:val="both"/>
        <w:spacing w:lineRule="auto" w:line="360" w:after="255" w:before="0"/>
        <w:shd w:val="clear" w:color="181A1B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Arial" w:hAnsi="Arial" w:cs="Arial" w:eastAsia="Arial" w:eastAsiaTheme="minorEastAsia"/>
          <w:b w:val="false"/>
          <w:color w:val="000000" w:themeColor="text1"/>
          <w:sz w:val="24"/>
        </w:rPr>
        <w:t xml:space="preserve">Possui benefícios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 por tratar de uma aplicação de </w:t>
      </w:r>
      <w:r>
        <w:rPr>
          <w:rFonts w:ascii="Arial" w:hAnsi="Arial" w:cs="Arial" w:eastAsia="Arial" w:eastAsiaTheme="minorEastAsia"/>
          <w:b w:val="false"/>
          <w:color w:val="000000" w:themeColor="text1"/>
          <w:sz w:val="24"/>
        </w:rPr>
        <w:t xml:space="preserve">s</w:t>
      </w:r>
      <w:r>
        <w:rPr>
          <w:rFonts w:ascii="Arial" w:hAnsi="Arial" w:cs="Arial" w:eastAsia="Arial" w:eastAsiaTheme="minorEastAsia"/>
          <w:b w:val="false"/>
          <w:color w:val="000000" w:themeColor="text1"/>
          <w:sz w:val="24"/>
        </w:rPr>
        <w:t xml:space="preserve">oftware de código aberto</w:t>
      </w:r>
      <w:r>
        <w:rPr>
          <w:rFonts w:ascii="Arial" w:hAnsi="Arial" w:cs="Arial" w:eastAsia="Arial" w:eastAsiaTheme="minorEastAsia"/>
          <w:b/>
          <w:color w:val="000000" w:themeColor="text1"/>
          <w:sz w:val="24"/>
        </w:rPr>
        <w:t xml:space="preserve">, 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podendo ser constantemente atualizado e melhorado pela comunidade. Possui </w:t>
      </w:r>
      <w:r>
        <w:rPr>
          <w:rFonts w:ascii="Arial" w:hAnsi="Arial" w:cs="Arial" w:eastAsia="Arial" w:eastAsiaTheme="minorEastAsia"/>
          <w:b w:val="false"/>
          <w:color w:val="000000" w:themeColor="text1"/>
          <w:sz w:val="24"/>
        </w:rPr>
        <w:t xml:space="preserve">Interface fácil de usar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, no qual todas asas características do MetaMask estão claramente expostas na carteira. A simplicidade da carteira até atrai novatos para fazer transações cripto. As </w:t>
      </w:r>
      <w:r>
        <w:rPr>
          <w:rFonts w:ascii="Arial" w:hAnsi="Arial" w:cs="Arial" w:eastAsia="Arial" w:eastAsiaTheme="minorEastAsia"/>
          <w:b w:val="false"/>
          <w:color w:val="000000" w:themeColor="text1"/>
          <w:sz w:val="24"/>
        </w:rPr>
        <w:t xml:space="preserve">c</w:t>
      </w:r>
      <w:r>
        <w:rPr>
          <w:rFonts w:ascii="Arial" w:hAnsi="Arial" w:cs="Arial" w:eastAsia="Arial" w:eastAsiaTheme="minorEastAsia"/>
          <w:b w:val="false"/>
          <w:color w:val="000000" w:themeColor="text1"/>
          <w:sz w:val="24"/>
        </w:rPr>
        <w:t xml:space="preserve">onfigurações da 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carteira MetaMask ajuda os usuários a manter sua conta segura, fazendo backup com as configurações determinísticas hierárquicas. As c</w:t>
      </w:r>
      <w:r>
        <w:rPr>
          <w:rFonts w:ascii="Arial" w:hAnsi="Arial" w:cs="Arial" w:eastAsia="Arial" w:eastAsiaTheme="minorEastAsia"/>
          <w:b w:val="false"/>
          <w:color w:val="000000" w:themeColor="text1"/>
          <w:sz w:val="24"/>
        </w:rPr>
        <w:t xml:space="preserve">ompras de moedas no aplicativo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, permitem os usuários comprar </w:t>
      </w:r>
      <w:hyperlink r:id="rId14" w:tooltip="https://guiadoinvestidor.com.br/tag/Ether" w:history="1">
        <w:r>
          <w:rPr>
            <w:rStyle w:val="803"/>
            <w:rFonts w:ascii="Arial" w:hAnsi="Arial" w:cs="Arial" w:eastAsia="Arial" w:eastAsiaTheme="minorEastAsia"/>
            <w:color w:val="000000" w:themeColor="text1"/>
            <w:sz w:val="24"/>
          </w:rPr>
          <w:t xml:space="preserve">Ether</w:t>
        </w:r>
        <w:r>
          <w:rPr>
            <w:rStyle w:val="803"/>
            <w:rFonts w:ascii="Arial" w:hAnsi="Arial" w:cs="Arial" w:eastAsia="Arial" w:eastAsiaTheme="minorEastAsia"/>
            <w:color w:val="000000" w:themeColor="text1"/>
            <w:sz w:val="24"/>
            <w:u w:val="none"/>
          </w:rPr>
          <w:t xml:space="preserve"> </w:t>
        </w:r>
      </w:hyperlink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e ERC-20 da Coinbase e do ShapeShift, já que o MetaMask está diretamente ligado às duas exchanges. </w:t>
      </w:r>
      <w:r>
        <w:rPr>
          <w:rFonts w:ascii="Arial" w:hAnsi="Arial" w:cs="Arial" w:eastAsia="Arial" w:eastAsiaTheme="minorEastAsia"/>
          <w:b w:val="false"/>
          <w:color w:val="000000" w:themeColor="text1"/>
          <w:sz w:val="24"/>
        </w:rPr>
        <w:t xml:space="preserve">No aspecto do Armazenamento de chaves local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, ao contrário da maioria dos servidores, o MetaMask não armazena chaves em seu servidor. Em vez disso, dá aos usuários controle total sobre suas chaves, armazenando-as no navegador do usuário. A </w:t>
      </w:r>
      <w:r>
        <w:rPr>
          <w:rFonts w:ascii="Arial" w:hAnsi="Arial" w:cs="Arial" w:eastAsia="Arial" w:eastAsiaTheme="minorEastAsia"/>
          <w:b w:val="false"/>
          <w:color w:val="000000" w:themeColor="text1"/>
          <w:sz w:val="24"/>
        </w:rPr>
        <w:t xml:space="preserve">comunidade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 da MetaMask forma uma parte integrante da comunidade Ethereum, pois tem milhões de usuários e seguidores em todo o mundo. Um ponto importante, o a</w:t>
      </w:r>
      <w:r>
        <w:rPr>
          <w:rFonts w:ascii="Arial" w:hAnsi="Arial" w:cs="Arial" w:eastAsia="Arial" w:eastAsiaTheme="minorEastAsia"/>
          <w:b w:val="false"/>
          <w:color w:val="000000" w:themeColor="text1"/>
          <w:sz w:val="24"/>
        </w:rPr>
        <w:t xml:space="preserve">tendimento ao cliente</w:t>
      </w: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, a MetaMask não só se restringiu à sua comunidade para orientação, mas também tem uma demonstração de vídeo na página inicial do </w:t>
      </w:r>
      <w:hyperlink r:id="rId15" w:tooltip="https://metamask.io/" w:history="1">
        <w:r>
          <w:rPr>
            <w:rStyle w:val="803"/>
            <w:rFonts w:ascii="Arial" w:hAnsi="Arial" w:cs="Arial" w:eastAsia="Arial" w:eastAsiaTheme="minorEastAsia"/>
            <w:color w:val="000000" w:themeColor="text1"/>
            <w:sz w:val="24"/>
          </w:rPr>
          <w:t xml:space="preserve">site</w:t>
        </w:r>
      </w:hyperlink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, juntamente com uma seção detalhada de perguntas frequentes e blogs.</w:t>
      </w:r>
      <w:r>
        <w:rPr>
          <w:rFonts w:ascii="Arial" w:hAnsi="Arial" w:cs="Arial" w:eastAsia="Arial" w:eastAsiaTheme="minorEastAsia"/>
          <w:color w:val="000000" w:themeColor="text1"/>
          <w:sz w:val="24"/>
        </w:rPr>
      </w:r>
      <w:r>
        <w:rPr>
          <w:rFonts w:eastAsiaTheme="minorEastAsia"/>
        </w:rPr>
      </w:r>
    </w:p>
    <w:p>
      <w:pPr>
        <w:ind w:left="0" w:firstLine="0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01"/>
        <w:numPr>
          <w:ilvl w:val="1"/>
          <w:numId w:val="2"/>
        </w:numPr>
      </w:pPr>
      <w:r>
        <w:rPr>
          <w:rFonts w:eastAsiaTheme="minorEastAsia"/>
        </w:rPr>
        <w:t xml:space="preserve"> </w:t>
      </w:r>
      <w:bookmarkStart w:id="7" w:name="_Toc73287564"/>
      <w:r>
        <w:rPr>
          <w:rFonts w:eastAsiaTheme="minorEastAsia"/>
        </w:rPr>
        <w:t xml:space="preserve">Evidências</w:t>
      </w:r>
      <w:bookmarkEnd w:id="7"/>
      <w:r>
        <w:rPr>
          <w:rFonts w:eastAsiaTheme="minorEastAsia"/>
        </w:rPr>
        <w:t xml:space="preserve">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</w:rPr>
        <w:t xml:space="preserve">Acrescente prova visuais do seu item de análise e detalhes demonstrando o que foi anal</w:t>
      </w:r>
      <w:r>
        <w:rPr>
          <w:rFonts w:ascii="Arial" w:hAnsi="Arial" w:cs="Arial" w:eastAsiaTheme="minorEastAsia"/>
          <w:color w:val="000000" w:themeColor="text1"/>
          <w:sz w:val="24"/>
          <w:szCs w:val="24"/>
        </w:rPr>
        <w:t xml:space="preserve">isado, como por exemplo, o tipo de material. A evidência pode ser um print ou foto. Coloque a descrição da imagem. </w:t>
        <w:br/>
        <w:t xml:space="preserve">Preserve as informações pessoais caso apareça na imagem. Corte ou pinte as informações como endereço, nome completo, telefone, e-mail, etc.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  <w:highlight w:val="yellow"/>
        </w:rPr>
      </w:r>
      <w:r>
        <w:rPr>
          <w:rFonts w:ascii="Arial" w:hAnsi="Arial" w:cs="Arial" w:eastAsiaTheme="minorEastAsia"/>
          <w:color w:val="000000" w:themeColor="text1"/>
          <w:sz w:val="24"/>
          <w:szCs w:val="24"/>
        </w:rPr>
        <w:br/>
        <w:t xml:space="preserve">Print: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left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eastAsiaTheme="minorEastAsia"/>
        </w:rPr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56388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05174" cy="5638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60.2pt;height:444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 w:eastAsiaTheme="minorEastAsia"/>
          <w:color w:val="000000" w:themeColor="text1"/>
        </w:rPr>
        <w:br/>
        <w:br/>
        <w:t xml:space="preserve">Imagem 1: Tela de login</w:t>
        <w:br/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jc w:val="left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</w:rPr>
        <w:t xml:space="preserve">Print: </w:t>
        <w:br/>
        <w:br/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566737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295649" cy="5667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9.5pt;height:446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/>
          <w:color w:val="000000"/>
        </w:rPr>
      </w:pPr>
      <w:r>
        <w:rPr>
          <w:rFonts w:ascii="Arial" w:hAnsi="Arial" w:cs="Arial" w:eastAsiaTheme="minorEastAsia"/>
          <w:color w:val="000000" w:themeColor="text1"/>
        </w:rPr>
        <w:t xml:space="preserve">Imagem 2: Dados Metamask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/>
          <w:color w:val="000000"/>
        </w:rPr>
      </w:pPr>
      <w:r>
        <w:rPr>
          <w:rFonts w:ascii="Arial" w:hAnsi="Arial" w:cs="Arial" w:eastAsiaTheme="minorEastAsia"/>
          <w:color w:val="000000" w:themeColor="text1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01"/>
        <w:numPr>
          <w:ilvl w:val="1"/>
          <w:numId w:val="2"/>
        </w:numPr>
      </w:pPr>
      <w:r>
        <w:rPr>
          <w:rFonts w:eastAsiaTheme="minorEastAsia"/>
        </w:rPr>
      </w:r>
      <w:bookmarkStart w:id="8" w:name="_Toc73287565"/>
      <w:r>
        <w:rPr>
          <w:rFonts w:eastAsiaTheme="minorEastAsia"/>
        </w:rPr>
        <w:t xml:space="preserve">Onde encontrar</w:t>
      </w:r>
      <w:bookmarkEnd w:id="8"/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left"/>
        <w:spacing w:lineRule="auto" w:line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eastAsiaTheme="minorEastAsia"/>
          <w:color w:val="000000" w:themeColor="text1"/>
          <w:sz w:val="24"/>
          <w:szCs w:val="24"/>
        </w:rPr>
        <w:t xml:space="preserve">Serviço disponível em: </w:t>
      </w:r>
      <w:r>
        <w:rPr>
          <w:rFonts w:ascii="Arial" w:hAnsi="Arial" w:cs="Arial" w:eastAsiaTheme="minorEastAsia"/>
          <w:color w:val="000000" w:themeColor="text1"/>
          <w:sz w:val="24"/>
          <w:szCs w:val="24"/>
        </w:rPr>
        <w:t xml:space="preserve">https://chrome.google.com/webstore/detail/metamask/nkbihfbeogaeaoehlefnkodbefgpgknn?hl=pt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/>
          <w:sz w:val="24"/>
          <w:szCs w:val="24"/>
        </w:rPr>
      </w:r>
      <w:r>
        <w:rPr>
          <w:rFonts w:ascii="Arial" w:hAnsi="Arial" w:cs="Arial" w:eastAsia="Arial" w:eastAsiaTheme="minorEastAsia"/>
          <w:color w:val="000000"/>
          <w:sz w:val="24"/>
          <w:szCs w:val="24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00"/>
        <w:numPr>
          <w:ilvl w:val="0"/>
          <w:numId w:val="2"/>
        </w:numPr>
      </w:pPr>
      <w:r>
        <w:rPr>
          <w:rFonts w:eastAsiaTheme="minorEastAsia"/>
        </w:rPr>
      </w:r>
      <w:bookmarkStart w:id="9" w:name="_Toc73287566"/>
      <w:r>
        <w:rPr>
          <w:rFonts w:eastAsiaTheme="minorEastAsia"/>
        </w:rPr>
        <w:t xml:space="preserve">CONCLUSÃO</w:t>
      </w:r>
      <w:bookmarkEnd w:id="9"/>
      <w:r>
        <w:rPr>
          <w:rFonts w:eastAsiaTheme="minorEastAsia"/>
        </w:rPr>
      </w:r>
      <w:r>
        <w:rPr>
          <w:rFonts w:eastAsiaTheme="minorEastAsia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Metamask é segura embora seja uma carteira digital baseada em plugins de navegador, é uma segurança robusta.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Entretanto, a segurança dessa carteira nunca poderá ter comparação com carteiras hardware. No entanto, até o momento, não teve um relato sobre hacking da carteira.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Todas as chaves e informações armazenam no navegador do usuário. O navegador também não tem permissão para acessar e coletar informações do Metamask. Teoricamente, a segurança da carteira é 100% impecável.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No entanto, você deve manter o código em um lugar seguro para não perder o acesso à sua carteira.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É claro que a carteira Metamask não usa autenticação de 2 fatores, mas sua codificação está em um nível convincente de segurança.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A equipe de desenvolvimento e suporte da Metamask fez todos os esforços para fornecer segurança máxima para seus usuários.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ind w:left="0" w:right="0" w:firstLine="0"/>
        <w:spacing w:lineRule="auto" w:line="360" w:after="255" w:before="0"/>
        <w:shd w:val="clear" w:color="181A1B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 w:eastAsiaTheme="minorEastAsia"/>
          <w:color w:val="000000" w:themeColor="text1"/>
          <w:sz w:val="24"/>
        </w:rPr>
        <w:t xml:space="preserve">E como dito anteriormente, até o momento, não houve relatos de fraude ou mesmo golpes da Metamask. Dessa maneira, existem sinais positivos nesta carteira que podem ser confiáveis.</w:t>
      </w:r>
      <w:r>
        <w:rPr>
          <w:rFonts w:ascii="Arial" w:hAnsi="Arial" w:cs="Arial" w:eastAsia="Arial" w:eastAsiaTheme="minorEastAsia"/>
          <w:color w:val="000000" w:themeColor="text1"/>
        </w:rPr>
      </w:r>
      <w:r>
        <w:rPr>
          <w:rFonts w:eastAsiaTheme="minorEastAsia"/>
        </w:rPr>
      </w:r>
    </w:p>
    <w:p>
      <w:pPr>
        <w:pStyle w:val="799"/>
        <w:jc w:val="both"/>
        <w:spacing w:lineRule="auto" w:line="360"/>
        <w:rPr>
          <w:rFonts w:ascii="Arial" w:hAnsi="Arial" w:cs="Arial" w:eastAsia="Arial"/>
          <w:b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b/>
          <w:color w:val="000000" w:themeColor="text1"/>
          <w:sz w:val="24"/>
          <w:szCs w:val="24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800"/>
        <w:numPr>
          <w:ilvl w:val="0"/>
          <w:numId w:val="2"/>
        </w:numPr>
      </w:pPr>
      <w:r>
        <w:rPr>
          <w:rFonts w:eastAsiaTheme="minorEastAsia"/>
        </w:rPr>
      </w:r>
      <w:bookmarkStart w:id="10" w:name="_Toc73287567"/>
      <w:r>
        <w:rPr>
          <w:rFonts w:eastAsiaTheme="minorEastAsia"/>
        </w:rPr>
        <w:t xml:space="preserve">REFERÊNCIAS BIBLIOGRÁFICAS</w:t>
      </w:r>
      <w:bookmarkEnd w:id="10"/>
      <w:r>
        <w:rPr>
          <w:rFonts w:eastAsiaTheme="minorEastAsia"/>
        </w:rPr>
        <w:t xml:space="preserve"> 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799"/>
        <w:jc w:val="left"/>
        <w:spacing w:lineRule="auto" w:line="360" w:after="160" w:before="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 w:eastAsiaTheme="minorEastAsia"/>
          <w:color w:val="000000" w:themeColor="text1"/>
          <w:sz w:val="24"/>
          <w:szCs w:val="24"/>
          <w:highlight w:val="yellow"/>
        </w:rPr>
      </w:r>
      <w:r>
        <w:rPr>
          <w:rFonts w:eastAsiaTheme="minorEastAsia"/>
        </w:rPr>
        <w:br/>
      </w:r>
      <w:r>
        <w:rPr>
          <w:rFonts w:ascii="Liberation Sans" w:hAnsi="Liberation Sans" w:cs="Liberation Sans" w:eastAsia="Liberation Sans" w:eastAsiaTheme="minorEastAsia"/>
          <w:color w:val="56646B"/>
          <w:sz w:val="24"/>
        </w:rPr>
        <w:t xml:space="preserve">Metamask: </w:t>
      </w:r>
      <w:r>
        <w:rPr>
          <w:rFonts w:ascii="Times New Roman" w:hAnsi="Times New Roman" w:cs="Times New Roman" w:eastAsia="Times New Roman" w:eastAsiaTheme="minorEastAsia"/>
          <w:color w:val="000000"/>
          <w:sz w:val="24"/>
        </w:rPr>
        <w:t xml:space="preserve">https://metamask.io/</w:t>
        <w:br/>
      </w:r>
      <w:r>
        <w:rPr>
          <w:rFonts w:ascii="Liberation Sans" w:hAnsi="Liberation Sans" w:cs="Liberation Sans" w:eastAsia="Liberation Sans" w:eastAsiaTheme="minorEastAsia"/>
          <w:color w:val="56646B"/>
          <w:sz w:val="24"/>
        </w:rPr>
        <w:t xml:space="preserve">Binance: </w:t>
      </w:r>
      <w:r>
        <w:rPr>
          <w:rFonts w:ascii="Times New Roman" w:hAnsi="Times New Roman" w:cs="Times New Roman" w:eastAsia="Times New Roman" w:eastAsiaTheme="minorEastAsia"/>
          <w:color w:val="000000"/>
          <w:sz w:val="24"/>
        </w:rPr>
        <w:t xml:space="preserve">https://academy.binance.com/pt/articles/connecting-metamask-to-binance-smart-chain</w:t>
      </w:r>
      <w:r>
        <w:rPr>
          <w:rFonts w:eastAsiaTheme="minorEastAsia"/>
        </w:rPr>
      </w:r>
      <w:r>
        <w:rPr>
          <w:rFonts w:eastAsiaTheme="minorEastAsia"/>
        </w:rPr>
      </w:r>
    </w:p>
    <w:sectPr>
      <w:footnotePr/>
      <w:endnotePr/>
      <w:type w:val="nextPage"/>
      <w:pgSz w:w="11906" w:h="16838" w:orient="portrait"/>
      <w:pgMar w:top="1417" w:right="1701" w:bottom="1417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 New">
    <w:panose1 w:val="02070409020205020404"/>
  </w:font>
  <w:font w:name="Noto Sans CJK SC">
    <w:panose1 w:val="020B0500000000000000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Calibri Light">
    <w:panose1 w:val="020F0302020204030203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00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decimal"/>
      <w:pStyle w:val="801"/>
      <w:isLgl w:val="false"/>
      <w:suff w:val="tab"/>
      <w:lvlText w:val="%1.%2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180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520" w:hanging="108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2880" w:hanging="108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3600" w:hanging="144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3960" w:hanging="144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4680" w:hanging="180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40" w:hanging="180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0" w:leader="none"/>
        </w:tabs>
      </w:pPr>
      <w:rPr>
        <w:rFonts w:ascii="Arial" w:hAnsi="Arial" w:cs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34" w:hanging="360"/>
      </w:pPr>
      <w:rPr>
        <w:rFonts w:ascii="Symbol" w:hAnsi="Symbol" w:cs="Symbol" w:eastAsia="Symbol" w:hint="default"/>
        <w:color w:val="D1CDC7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954" w:hanging="360"/>
      </w:pPr>
      <w:rPr>
        <w:rFonts w:ascii="Symbol" w:hAnsi="Symbol" w:cs="Symbol" w:eastAsia="Symbol" w:hint="default"/>
        <w:color w:val="D1CDC7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674" w:hanging="360"/>
      </w:pPr>
      <w:rPr>
        <w:rFonts w:ascii="Symbol" w:hAnsi="Symbol" w:cs="Symbol" w:eastAsia="Symbol" w:hint="default"/>
        <w:color w:val="D1CDC7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394" w:hanging="360"/>
      </w:pPr>
      <w:rPr>
        <w:rFonts w:ascii="Symbol" w:hAnsi="Symbol" w:cs="Symbol" w:eastAsia="Symbol" w:hint="default"/>
        <w:color w:val="D1CDC7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114" w:hanging="360"/>
      </w:pPr>
      <w:rPr>
        <w:rFonts w:ascii="Symbol" w:hAnsi="Symbol" w:cs="Symbol" w:eastAsia="Symbol" w:hint="default"/>
        <w:color w:val="D1CDC7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834" w:hanging="360"/>
      </w:pPr>
      <w:rPr>
        <w:rFonts w:ascii="Symbol" w:hAnsi="Symbol" w:cs="Symbol" w:eastAsia="Symbol" w:hint="default"/>
        <w:color w:val="D1CDC7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554" w:hanging="360"/>
      </w:pPr>
      <w:rPr>
        <w:rFonts w:ascii="Symbol" w:hAnsi="Symbol" w:cs="Symbol" w:eastAsia="Symbol" w:hint="default"/>
        <w:color w:val="D1CDC7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274" w:hanging="360"/>
      </w:pPr>
      <w:rPr>
        <w:rFonts w:ascii="Symbol" w:hAnsi="Symbol" w:cs="Symbol" w:eastAsia="Symbol" w:hint="default"/>
        <w:color w:val="D1CDC7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994" w:hanging="360"/>
      </w:pPr>
      <w:rPr>
        <w:rFonts w:ascii="Symbol" w:hAnsi="Symbol" w:cs="Symbol" w:eastAsia="Symbol" w:hint="default"/>
        <w:color w:val="D1CDC7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3"/>
    <w:basedOn w:val="799"/>
    <w:next w:val="799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basedOn w:val="802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799"/>
    <w:next w:val="799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basedOn w:val="802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799"/>
    <w:next w:val="799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basedOn w:val="802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799"/>
    <w:next w:val="799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basedOn w:val="802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799"/>
    <w:next w:val="799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basedOn w:val="802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799"/>
    <w:next w:val="799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basedOn w:val="802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799"/>
    <w:next w:val="799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basedOn w:val="802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qFormat/>
    <w:uiPriority w:val="1"/>
    <w:pPr>
      <w:spacing w:lineRule="auto" w:line="240" w:after="0" w:before="0"/>
    </w:pPr>
  </w:style>
  <w:style w:type="paragraph" w:styleId="657">
    <w:name w:val="Quote"/>
    <w:basedOn w:val="799"/>
    <w:next w:val="799"/>
    <w:link w:val="658"/>
    <w:qFormat/>
    <w:uiPriority w:val="29"/>
    <w:rPr>
      <w:i/>
    </w:rPr>
    <w:pPr>
      <w:ind w:left="720" w:right="720"/>
    </w:p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799"/>
    <w:next w:val="799"/>
    <w:link w:val="66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799"/>
    <w:link w:val="6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02"/>
    <w:link w:val="661"/>
    <w:uiPriority w:val="99"/>
  </w:style>
  <w:style w:type="paragraph" w:styleId="663">
    <w:name w:val="Footer"/>
    <w:basedOn w:val="799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02"/>
    <w:link w:val="663"/>
    <w:uiPriority w:val="99"/>
  </w:style>
  <w:style w:type="character" w:styleId="665">
    <w:name w:val="Caption Char"/>
    <w:basedOn w:val="812"/>
    <w:link w:val="663"/>
    <w:uiPriority w:val="99"/>
  </w:style>
  <w:style w:type="table" w:styleId="666">
    <w:name w:val="Table Grid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2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2">
    <w:name w:val="Lined - Accent 1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3">
    <w:name w:val="Lined - Accent 2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4">
    <w:name w:val="Lined - Accent 3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5">
    <w:name w:val="Lined - Accent 4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6">
    <w:name w:val="Lined - Accent 5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7">
    <w:name w:val="Lined - Accent 6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8">
    <w:name w:val="Bordered &amp; Lined - Accent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Bordered &amp; Lined - Accent 1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Bordered &amp; Lined - Accent 2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Bordered &amp; Lined - Accent 3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Bordered &amp; Lined - Accent 4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Bordered &amp; Lined - Accent 5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Bordered &amp; Lined - Accent 6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792">
    <w:name w:val="footnote text"/>
    <w:basedOn w:val="799"/>
    <w:link w:val="793"/>
    <w:uiPriority w:val="99"/>
    <w:semiHidden/>
    <w:unhideWhenUsed/>
    <w:rPr>
      <w:sz w:val="18"/>
    </w:rPr>
    <w:pPr>
      <w:spacing w:lineRule="auto" w:line="240" w:after="40"/>
    </w:pPr>
  </w:style>
  <w:style w:type="character" w:styleId="793">
    <w:name w:val="Footnote Text Char"/>
    <w:link w:val="792"/>
    <w:uiPriority w:val="99"/>
    <w:rPr>
      <w:sz w:val="18"/>
    </w:rPr>
  </w:style>
  <w:style w:type="character" w:styleId="794">
    <w:name w:val="footnote reference"/>
    <w:basedOn w:val="802"/>
    <w:uiPriority w:val="99"/>
    <w:unhideWhenUsed/>
    <w:rPr>
      <w:vertAlign w:val="superscript"/>
    </w:rPr>
  </w:style>
  <w:style w:type="paragraph" w:styleId="795">
    <w:name w:val="endnote text"/>
    <w:basedOn w:val="799"/>
    <w:link w:val="796"/>
    <w:uiPriority w:val="99"/>
    <w:semiHidden/>
    <w:unhideWhenUsed/>
    <w:rPr>
      <w:sz w:val="20"/>
    </w:rPr>
    <w:pPr>
      <w:spacing w:lineRule="auto" w:line="240" w:after="0"/>
    </w:pPr>
  </w:style>
  <w:style w:type="character" w:styleId="796">
    <w:name w:val="Endnote Text Char"/>
    <w:link w:val="795"/>
    <w:uiPriority w:val="99"/>
    <w:rPr>
      <w:sz w:val="20"/>
    </w:rPr>
  </w:style>
  <w:style w:type="character" w:styleId="797">
    <w:name w:val="endnote reference"/>
    <w:basedOn w:val="802"/>
    <w:uiPriority w:val="99"/>
    <w:semiHidden/>
    <w:unhideWhenUsed/>
    <w:rPr>
      <w:vertAlign w:val="superscript"/>
    </w:rPr>
  </w:style>
  <w:style w:type="paragraph" w:styleId="798">
    <w:name w:val="table of figures"/>
    <w:basedOn w:val="799"/>
    <w:next w:val="799"/>
    <w:uiPriority w:val="99"/>
    <w:unhideWhenUsed/>
    <w:pPr>
      <w:spacing w:after="0" w:afterAutospacing="0"/>
    </w:pPr>
  </w:style>
  <w:style w:type="paragraph" w:styleId="799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pt-BR" w:bidi="ar-SA" w:eastAsia="en-US"/>
    </w:rPr>
    <w:pPr>
      <w:jc w:val="left"/>
      <w:spacing w:lineRule="auto" w:line="259" w:after="160" w:before="0"/>
      <w:widowControl/>
    </w:pPr>
  </w:style>
  <w:style w:type="paragraph" w:styleId="800">
    <w:name w:val="Heading 1"/>
    <w:basedOn w:val="799"/>
    <w:next w:val="799"/>
    <w:link w:val="806"/>
    <w:qFormat/>
    <w:uiPriority w:val="9"/>
    <w:rPr>
      <w:rFonts w:ascii="Arial" w:hAnsi="Arial" w:cs="Arial" w:eastAsia="Arial"/>
      <w:b/>
      <w:color w:val="000000" w:themeColor="text1"/>
      <w:sz w:val="24"/>
      <w:szCs w:val="24"/>
    </w:rPr>
    <w:pPr>
      <w:numPr>
        <w:ilvl w:val="0"/>
        <w:numId w:val="1"/>
      </w:numPr>
      <w:jc w:val="both"/>
      <w:spacing w:lineRule="auto" w:line="360"/>
      <w:outlineLvl w:val="0"/>
    </w:pPr>
  </w:style>
  <w:style w:type="paragraph" w:styleId="801">
    <w:name w:val="Heading 2"/>
    <w:basedOn w:val="814"/>
    <w:next w:val="799"/>
    <w:link w:val="807"/>
    <w:qFormat/>
    <w:uiPriority w:val="9"/>
    <w:unhideWhenUsed/>
    <w:rPr>
      <w:rFonts w:ascii="Arial" w:hAnsi="Arial" w:cs="Arial"/>
      <w:b/>
      <w:color w:val="000000" w:themeColor="text1"/>
      <w:sz w:val="24"/>
      <w:szCs w:val="24"/>
    </w:rPr>
    <w:pPr>
      <w:numPr>
        <w:ilvl w:val="1"/>
        <w:numId w:val="1"/>
      </w:numPr>
      <w:jc w:val="both"/>
      <w:spacing w:lineRule="auto" w:line="360"/>
      <w:outlineLvl w:val="1"/>
    </w:pPr>
  </w:style>
  <w:style w:type="character" w:styleId="802" w:default="1">
    <w:name w:val="Default Paragraph Font"/>
    <w:qFormat/>
    <w:uiPriority w:val="1"/>
    <w:semiHidden/>
    <w:unhideWhenUsed/>
  </w:style>
  <w:style w:type="character" w:styleId="803">
    <w:name w:val="Hyperlink"/>
    <w:basedOn w:val="802"/>
    <w:uiPriority w:val="99"/>
    <w:unhideWhenUsed/>
    <w:rPr>
      <w:color w:val="0563C1" w:themeColor="hyperlink"/>
      <w:u w:val="single"/>
    </w:rPr>
  </w:style>
  <w:style w:type="character" w:styleId="804" w:customStyle="1">
    <w:name w:val="Title Char"/>
    <w:basedOn w:val="802"/>
    <w:link w:val="815"/>
    <w:qFormat/>
    <w:uiPriority w:val="10"/>
    <w:rPr>
      <w:rFonts w:ascii="Calibri Light" w:hAnsi="Calibri Light" w:asciiTheme="majorHAnsi" w:hAnsiTheme="majorHAnsi" w:eastAsiaTheme="majorEastAsia" w:cstheme="majorBidi"/>
      <w:spacing w:val="-10"/>
      <w:sz w:val="56"/>
      <w:szCs w:val="56"/>
    </w:rPr>
  </w:style>
  <w:style w:type="character" w:styleId="805" w:customStyle="1">
    <w:name w:val="Subtitle Char"/>
    <w:basedOn w:val="802"/>
    <w:link w:val="816"/>
    <w:qFormat/>
    <w:uiPriority w:val="11"/>
    <w:rPr>
      <w:rFonts w:eastAsiaTheme="minorEastAsia"/>
      <w:color w:val="5A5A5A" w:themeColor="text1" w:themeTint="A5"/>
      <w:spacing w:val="15"/>
    </w:rPr>
  </w:style>
  <w:style w:type="character" w:styleId="806" w:customStyle="1">
    <w:name w:val="Heading 1 Char"/>
    <w:basedOn w:val="802"/>
    <w:link w:val="800"/>
    <w:qFormat/>
    <w:uiPriority w:val="9"/>
    <w:rPr>
      <w:rFonts w:ascii="Arial" w:hAnsi="Arial" w:cs="Arial" w:eastAsia="Arial"/>
      <w:b/>
      <w:color w:val="000000" w:themeColor="text1"/>
      <w:sz w:val="24"/>
      <w:szCs w:val="24"/>
    </w:rPr>
  </w:style>
  <w:style w:type="character" w:styleId="807" w:customStyle="1">
    <w:name w:val="Heading 2 Char"/>
    <w:basedOn w:val="802"/>
    <w:link w:val="801"/>
    <w:qFormat/>
    <w:uiPriority w:val="9"/>
    <w:rPr>
      <w:rFonts w:ascii="Arial" w:hAnsi="Arial" w:cs="Arial"/>
      <w:b/>
      <w:color w:val="000000" w:themeColor="text1"/>
      <w:sz w:val="24"/>
      <w:szCs w:val="24"/>
    </w:rPr>
  </w:style>
  <w:style w:type="character" w:styleId="808">
    <w:name w:val="Index Link"/>
    <w:qFormat/>
  </w:style>
  <w:style w:type="paragraph" w:styleId="809">
    <w:name w:val="Heading"/>
    <w:basedOn w:val="799"/>
    <w:next w:val="810"/>
    <w:qFormat/>
    <w:rPr>
      <w:rFonts w:ascii="Liberation Sans" w:hAnsi="Liberation Sans" w:cs="FreeSans" w:eastAsia="Noto Sans CJK SC"/>
      <w:sz w:val="28"/>
      <w:szCs w:val="28"/>
    </w:rPr>
    <w:pPr>
      <w:keepNext/>
      <w:spacing w:after="120" w:before="240"/>
    </w:pPr>
  </w:style>
  <w:style w:type="paragraph" w:styleId="810">
    <w:name w:val="Body Text"/>
    <w:basedOn w:val="799"/>
    <w:pPr>
      <w:spacing w:lineRule="auto" w:line="276" w:after="140" w:before="0"/>
    </w:pPr>
  </w:style>
  <w:style w:type="paragraph" w:styleId="811">
    <w:name w:val="List"/>
    <w:basedOn w:val="810"/>
    <w:rPr>
      <w:rFonts w:cs="FreeSans"/>
    </w:rPr>
  </w:style>
  <w:style w:type="paragraph" w:styleId="812">
    <w:name w:val="Caption"/>
    <w:basedOn w:val="799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813">
    <w:name w:val="Index"/>
    <w:basedOn w:val="799"/>
    <w:qFormat/>
    <w:rPr>
      <w:rFonts w:cs="FreeSans"/>
    </w:rPr>
    <w:pPr>
      <w:suppressLineNumbers/>
    </w:pPr>
  </w:style>
  <w:style w:type="paragraph" w:styleId="814">
    <w:name w:val="List Paragraph"/>
    <w:basedOn w:val="799"/>
    <w:qFormat/>
    <w:uiPriority w:val="34"/>
    <w:pPr>
      <w:contextualSpacing w:val="true"/>
      <w:ind w:left="720" w:firstLine="0"/>
      <w:spacing w:after="160" w:before="0"/>
    </w:pPr>
  </w:style>
  <w:style w:type="paragraph" w:styleId="815">
    <w:name w:val="Title"/>
    <w:basedOn w:val="799"/>
    <w:next w:val="799"/>
    <w:link w:val="804"/>
    <w:qFormat/>
    <w:uiPriority w:val="10"/>
    <w:rPr>
      <w:rFonts w:ascii="Calibri Light" w:hAnsi="Calibri Light" w:asciiTheme="majorHAnsi" w:hAnsiTheme="majorHAnsi" w:eastAsiaTheme="majorEastAsia" w:cstheme="majorBidi"/>
      <w:spacing w:val="-10"/>
      <w:sz w:val="56"/>
      <w:szCs w:val="56"/>
    </w:rPr>
    <w:pPr>
      <w:contextualSpacing w:val="true"/>
      <w:spacing w:lineRule="auto" w:line="240" w:after="0" w:before="0"/>
    </w:pPr>
  </w:style>
  <w:style w:type="paragraph" w:styleId="816">
    <w:name w:val="Subtitle"/>
    <w:basedOn w:val="799"/>
    <w:next w:val="799"/>
    <w:link w:val="805"/>
    <w:qFormat/>
    <w:uiPriority w:val="11"/>
    <w:rPr>
      <w:rFonts w:eastAsiaTheme="minorEastAsia"/>
      <w:color w:val="5A5A5A" w:themeColor="text1" w:themeTint="A5"/>
      <w:spacing w:val="15"/>
    </w:rPr>
  </w:style>
  <w:style w:type="paragraph" w:styleId="817">
    <w:name w:val="TOC Heading"/>
    <w:basedOn w:val="800"/>
    <w:next w:val="799"/>
    <w:qFormat/>
    <w:uiPriority w:val="39"/>
    <w:unhideWhenUsed/>
    <w:rPr>
      <w:rFonts w:ascii="Calibri Light" w:hAnsi="Calibri Light"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  <w:pPr>
      <w:numPr>
        <w:ilvl w:val="0"/>
        <w:numId w:val="0"/>
      </w:numPr>
      <w:jc w:val="left"/>
      <w:keepLines/>
      <w:keepNext/>
      <w:spacing w:lineRule="auto" w:line="276" w:after="0" w:before="480"/>
    </w:pPr>
  </w:style>
  <w:style w:type="paragraph" w:styleId="818">
    <w:name w:val="toc 1"/>
    <w:basedOn w:val="799"/>
    <w:next w:val="799"/>
    <w:uiPriority w:val="39"/>
    <w:unhideWhenUsed/>
    <w:rPr>
      <w:b/>
      <w:bCs/>
      <w:i/>
      <w:iCs/>
      <w:sz w:val="24"/>
      <w:szCs w:val="24"/>
    </w:rPr>
    <w:pPr>
      <w:spacing w:after="0" w:before="120"/>
    </w:pPr>
  </w:style>
  <w:style w:type="paragraph" w:styleId="819">
    <w:name w:val="toc 2"/>
    <w:basedOn w:val="799"/>
    <w:next w:val="799"/>
    <w:uiPriority w:val="39"/>
    <w:unhideWhenUsed/>
    <w:rPr>
      <w:b/>
      <w:bCs/>
    </w:rPr>
    <w:pPr>
      <w:ind w:left="220" w:firstLine="0"/>
      <w:spacing w:after="0" w:before="120"/>
    </w:pPr>
  </w:style>
  <w:style w:type="paragraph" w:styleId="820">
    <w:name w:val="toc 3"/>
    <w:basedOn w:val="799"/>
    <w:next w:val="799"/>
    <w:uiPriority w:val="39"/>
    <w:semiHidden/>
    <w:unhideWhenUsed/>
    <w:rPr>
      <w:sz w:val="20"/>
      <w:szCs w:val="20"/>
    </w:rPr>
    <w:pPr>
      <w:ind w:left="440" w:firstLine="0"/>
      <w:spacing w:after="0" w:before="0"/>
    </w:pPr>
  </w:style>
  <w:style w:type="paragraph" w:styleId="821">
    <w:name w:val="toc 4"/>
    <w:basedOn w:val="799"/>
    <w:next w:val="799"/>
    <w:uiPriority w:val="39"/>
    <w:semiHidden/>
    <w:unhideWhenUsed/>
    <w:rPr>
      <w:sz w:val="20"/>
      <w:szCs w:val="20"/>
    </w:rPr>
    <w:pPr>
      <w:ind w:left="660" w:firstLine="0"/>
      <w:spacing w:after="0" w:before="0"/>
    </w:pPr>
  </w:style>
  <w:style w:type="paragraph" w:styleId="822">
    <w:name w:val="toc 5"/>
    <w:basedOn w:val="799"/>
    <w:next w:val="799"/>
    <w:uiPriority w:val="39"/>
    <w:semiHidden/>
    <w:unhideWhenUsed/>
    <w:rPr>
      <w:sz w:val="20"/>
      <w:szCs w:val="20"/>
    </w:rPr>
    <w:pPr>
      <w:ind w:left="880" w:firstLine="0"/>
      <w:spacing w:after="0" w:before="0"/>
    </w:pPr>
  </w:style>
  <w:style w:type="paragraph" w:styleId="823">
    <w:name w:val="toc 6"/>
    <w:basedOn w:val="799"/>
    <w:next w:val="799"/>
    <w:uiPriority w:val="39"/>
    <w:semiHidden/>
    <w:unhideWhenUsed/>
    <w:rPr>
      <w:sz w:val="20"/>
      <w:szCs w:val="20"/>
    </w:rPr>
    <w:pPr>
      <w:ind w:left="1100" w:firstLine="0"/>
      <w:spacing w:after="0" w:before="0"/>
    </w:pPr>
  </w:style>
  <w:style w:type="paragraph" w:styleId="824">
    <w:name w:val="toc 7"/>
    <w:basedOn w:val="799"/>
    <w:next w:val="799"/>
    <w:uiPriority w:val="39"/>
    <w:semiHidden/>
    <w:unhideWhenUsed/>
    <w:rPr>
      <w:sz w:val="20"/>
      <w:szCs w:val="20"/>
    </w:rPr>
    <w:pPr>
      <w:ind w:left="1320" w:firstLine="0"/>
      <w:spacing w:after="0" w:before="0"/>
    </w:pPr>
  </w:style>
  <w:style w:type="paragraph" w:styleId="825">
    <w:name w:val="toc 8"/>
    <w:basedOn w:val="799"/>
    <w:next w:val="799"/>
    <w:uiPriority w:val="39"/>
    <w:semiHidden/>
    <w:unhideWhenUsed/>
    <w:rPr>
      <w:sz w:val="20"/>
      <w:szCs w:val="20"/>
    </w:rPr>
    <w:pPr>
      <w:ind w:left="1540" w:firstLine="0"/>
      <w:spacing w:after="0" w:before="0"/>
    </w:pPr>
  </w:style>
  <w:style w:type="paragraph" w:styleId="826">
    <w:name w:val="toc 9"/>
    <w:basedOn w:val="799"/>
    <w:next w:val="799"/>
    <w:uiPriority w:val="39"/>
    <w:semiHidden/>
    <w:unhideWhenUsed/>
    <w:rPr>
      <w:sz w:val="20"/>
      <w:szCs w:val="20"/>
    </w:rPr>
    <w:pPr>
      <w:ind w:left="1760" w:firstLine="0"/>
      <w:spacing w:after="0" w:before="0"/>
    </w:pPr>
  </w:style>
  <w:style w:type="numbering" w:styleId="827" w:default="1">
    <w:name w:val="No List"/>
    <w:qFormat/>
    <w:uiPriority w:val="99"/>
    <w:semiHidden/>
    <w:unhideWhenUsed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hyperlink" Target="https://guiadoinvestidor.com.br/tag/coinbase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guiadoinvestidor.com.br/tag/Ether" TargetMode="External"/><Relationship Id="rId15" Type="http://schemas.openxmlformats.org/officeDocument/2006/relationships/hyperlink" Target="https://metamask.io/" TargetMode="External"/><Relationship Id="rId16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Microsoft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dc:description/>
  <dc:language>pt-BR</dc:language>
  <cp:revision>8</cp:revision>
  <dcterms:created xsi:type="dcterms:W3CDTF">2021-05-30T20:28:00Z</dcterms:created>
  <dcterms:modified xsi:type="dcterms:W3CDTF">2022-04-10T01:55:18Z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