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DejaVu Sans" w:cs="DejaVu Sans" w:eastAsia="DejaVu Sans" w:hAnsi="DejaVu Sans"/>
          <w:b/>
          <w:bCs/>
          <w:color w:val="087F72"/>
          <w:sz w:val="16"/>
          <w:szCs w:val="16"/>
        </w:rPr>
        <w:t xml:space="preserve">APPLICATION SHOWCASE / 10 SEPTEMBER 2026</w:t>
      </w:r>
    </w:p>
    <w:p>
      <w:pPr>
        <w:spacing w:after="140"/>
      </w:pPr>
      <w:r>
        <w:rPr>
          <w:rFonts w:ascii="DejaVu Serif" w:cs="DejaVu Serif" w:eastAsia="DejaVu Serif" w:hAnsi="DejaVu Serif"/>
          <w:b/>
          <w:bCs/>
          <w:color w:val="182824"/>
          <w:sz w:val="38"/>
          <w:szCs w:val="38"/>
        </w:rPr>
        <w:t xml:space="preserve">GHCP AI Credits Simulator</w:t>
      </w:r>
    </w:p>
    <w:p>
      <w:pPr>
        <w:spacing w:after="100"/>
      </w:pPr>
      <w:r>
        <w:drawing>
          <wp:inline distT="0" distB="0" distL="0" distR="0">
            <wp:extent cx="8858250" cy="5314950"/>
            <wp:effectExtent t="0" r="0" b="0" l="0"/>
            <wp:docPr id="1" name="GHCP AI Credits Simulator" descr="A visual tour of assessment, planning, governance, and reporting. Authorized live assessment data, pseudonymized and redacted for presentation." title="GHCP AI Credits Si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8858250" cy="5314950"/>
                    </a:xfrm>
                    <a:prstGeom prst="rect">
                      <a:avLst/>
                    </a:prstGeom>
                  </pic:spPr>
                </pic:pic>
              </a:graphicData>
            </a:graphic>
          </wp:inline>
        </w:drawing>
      </w:r>
    </w:p>
    <w:p>
      <w:pPr>
        <w:spacing w:after="120"/>
      </w:pPr>
      <w:r>
        <w:rPr>
          <w:rFonts w:ascii="DejaVu Sans" w:cs="DejaVu Sans" w:eastAsia="DejaVu Sans" w:hAnsi="DejaVu Sans"/>
          <w:color w:val="52635E"/>
          <w:sz w:val="17"/>
          <w:szCs w:val="17"/>
        </w:rPr>
        <w:t xml:space="preserve">A visual tour of assessment, planning, governance, and reporting. Authorized live assessment data, pseudonymized and redacted for presentation.</w:t>
      </w:r>
    </w:p>
    <w:p>
      <w:pPr>
        <w:spacing w:after="0"/>
      </w:pPr>
      <w:r>
        <w:rPr>
          <w:rFonts w:ascii="DejaVu Sans" w:cs="DejaVu Sans" w:eastAsia="DejaVu Sans" w:hAnsi="DejaVu Sans"/>
          <w:color w:val="31483F"/>
          <w:sz w:val="17"/>
          <w:szCs w:val="17"/>
        </w:rPr>
        <w:t xml:space="preserve">Maintainer: Preston K. Parsard</w:t>
      </w:r>
      <w:r>
        <w:rPr>
          <w:rFonts w:ascii="DejaVu Sans" w:cs="DejaVu Sans" w:eastAsia="DejaVu Sans" w:hAnsi="DejaVu Sans"/>
          <w:color w:val="31483F"/>
          <w:sz w:val="17"/>
          <w:szCs w:val="17"/>
        </w:rPr>
        <w:br/>
        <w:t xml:space="preserve">Contributor(s): AI</w:t>
      </w:r>
    </w:p>
    <w:p>
      <w:pPr>
        <w:sectPr>
          <w:headerReference w:type="default" r:id="rId7"/>
          <w:footerReference w:type="default" r:id="rId8"/>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CONCEPT / PRODUCT CONTEXT</w:t>
      </w:r>
    </w:p>
    <w:p>
      <w:pPr>
        <w:spacing w:after="140"/>
      </w:pPr>
      <w:r>
        <w:rPr>
          <w:rFonts w:ascii="DejaVu Serif" w:cs="DejaVu Serif" w:eastAsia="DejaVu Serif" w:hAnsi="DejaVu Serif"/>
          <w:b/>
          <w:bCs/>
          <w:color w:val="182824"/>
          <w:sz w:val="30"/>
          <w:szCs w:val="30"/>
        </w:rPr>
        <w:t xml:space="preserve">One conversation. Five workspaces.</w:t>
      </w:r>
    </w:p>
    <w:p>
      <w:pPr>
        <w:spacing w:after="100"/>
      </w:pPr>
      <w:r>
        <w:drawing>
          <wp:inline distT="0" distB="0" distL="0" distR="0">
            <wp:extent cx="8858250" cy="4982766"/>
            <wp:effectExtent t="0" r="0" b="0" l="0"/>
            <wp:docPr id="1" name="One conversation. Five workspaces." descr="Explore the evidence, test the assumptions, and prepare a decision." title="One conversation. Five worksp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8858250" cy="4982766"/>
                    </a:xfrm>
                    <a:prstGeom prst="rect">
                      <a:avLst/>
                    </a:prstGeom>
                  </pic:spPr>
                </pic:pic>
              </a:graphicData>
            </a:graphic>
          </wp:inline>
        </w:drawing>
      </w:r>
    </w:p>
    <w:p>
      <w:pPr>
        <w:spacing w:after="120"/>
      </w:pPr>
      <w:r>
        <w:rPr>
          <w:rFonts w:ascii="DejaVu Sans" w:cs="DejaVu Sans" w:eastAsia="DejaVu Sans" w:hAnsi="DejaVu Sans"/>
          <w:color w:val="52635E"/>
          <w:sz w:val="17"/>
          <w:szCs w:val="17"/>
        </w:rPr>
        <w:t xml:space="preserve">Explore the evidence, test the assumptions, and prepare a decision.</w:t>
      </w:r>
    </w:p>
    <w:p>
      <w:pPr>
        <w:sectPr>
          <w:headerReference w:type="default" r:id="rId9"/>
          <w:footerReference w:type="default" r:id="rId10"/>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CONCEPT / PRODUCT CONTEXT</w:t>
      </w:r>
    </w:p>
    <w:p>
      <w:pPr>
        <w:spacing w:after="140"/>
      </w:pPr>
      <w:r>
        <w:rPr>
          <w:rFonts w:ascii="DejaVu Serif" w:cs="DejaVu Serif" w:eastAsia="DejaVu Serif" w:hAnsi="DejaVu Serif"/>
          <w:b/>
          <w:bCs/>
          <w:color w:val="182824"/>
          <w:sz w:val="30"/>
          <w:szCs w:val="30"/>
        </w:rPr>
        <w:t xml:space="preserve">Different signals. Different confidence.</w:t>
      </w:r>
    </w:p>
    <w:p>
      <w:pPr>
        <w:spacing w:after="100"/>
      </w:pPr>
      <w:r>
        <w:drawing>
          <wp:inline distT="0" distB="0" distL="0" distR="0">
            <wp:extent cx="8858250" cy="4982766"/>
            <wp:effectExtent t="0" r="0" b="0" l="0"/>
            <wp:docPr id="1" name="Different signals. Different confidence." descr="A useful governance discussion keeps these three categories distinct." title="Different signals. Different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8858250" cy="4982766"/>
                    </a:xfrm>
                    <a:prstGeom prst="rect">
                      <a:avLst/>
                    </a:prstGeom>
                  </pic:spPr>
                </pic:pic>
              </a:graphicData>
            </a:graphic>
          </wp:inline>
        </w:drawing>
      </w:r>
    </w:p>
    <w:p>
      <w:pPr>
        <w:spacing w:after="120"/>
      </w:pPr>
      <w:r>
        <w:rPr>
          <w:rFonts w:ascii="DejaVu Sans" w:cs="DejaVu Sans" w:eastAsia="DejaVu Sans" w:hAnsi="DejaVu Sans"/>
          <w:color w:val="52635E"/>
          <w:sz w:val="17"/>
          <w:szCs w:val="17"/>
        </w:rPr>
        <w:t xml:space="preserve">A useful governance discussion keeps these three categories distinct.</w:t>
      </w:r>
    </w:p>
    <w:p>
      <w:pPr>
        <w:sectPr>
          <w:headerReference w:type="default" r:id="rId11"/>
          <w:footerReference w:type="default" r:id="rId12"/>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APPLICATION / REDACTED CAPTURE</w:t>
      </w:r>
    </w:p>
    <w:p>
      <w:pPr>
        <w:spacing w:after="140"/>
      </w:pPr>
      <w:r>
        <w:rPr>
          <w:rFonts w:ascii="DejaVu Serif" w:cs="DejaVu Serif" w:eastAsia="DejaVu Serif" w:hAnsi="DejaVu Serif"/>
          <w:b/>
          <w:bCs/>
          <w:color w:val="182824"/>
          <w:sz w:val="30"/>
          <w:szCs w:val="30"/>
        </w:rPr>
        <w:t xml:space="preserve">Connect the enterprise context</w:t>
      </w:r>
    </w:p>
    <w:p>
      <w:pPr>
        <w:spacing w:after="100"/>
      </w:pPr>
      <w:r>
        <w:drawing>
          <wp:inline distT="0" distB="0" distL="0" distR="0">
            <wp:extent cx="8858250" cy="5314950"/>
            <wp:effectExtent t="0" r="0" b="0" l="0"/>
            <wp:docPr id="1" name="Connect the enterprise context" descr="Live assessment workflow. Inputs and account details are masked; no credentials were transferred to the capture browser." title="Connect the enterprise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8858250" cy="5314950"/>
                    </a:xfrm>
                    <a:prstGeom prst="rect">
                      <a:avLst/>
                    </a:prstGeom>
                  </pic:spPr>
                </pic:pic>
              </a:graphicData>
            </a:graphic>
          </wp:inline>
        </w:drawing>
      </w:r>
    </w:p>
    <w:p>
      <w:pPr>
        <w:spacing w:after="120"/>
      </w:pPr>
      <w:r>
        <w:rPr>
          <w:rFonts w:ascii="DejaVu Sans" w:cs="DejaVu Sans" w:eastAsia="DejaVu Sans" w:hAnsi="DejaVu Sans"/>
          <w:b/>
          <w:bCs/>
          <w:color w:val="31483F"/>
          <w:sz w:val="19"/>
          <w:szCs w:val="19"/>
        </w:rPr>
        <w:t xml:space="preserve">Start with a defined enterprise scope and a reusable assessment history.</w:t>
      </w:r>
    </w:p>
    <w:p>
      <w:pPr>
        <w:spacing w:after="120"/>
      </w:pPr>
      <w:r>
        <w:rPr>
          <w:rFonts w:ascii="DejaVu Sans" w:cs="DejaVu Sans" w:eastAsia="DejaVu Sans" w:hAnsi="DejaVu Sans"/>
          <w:color w:val="52635E"/>
          <w:sz w:val="17"/>
          <w:szCs w:val="17"/>
        </w:rPr>
        <w:t xml:space="preserve">Live assessment workflow. Inputs and account details are masked; no credentials were transferred to the capture browser.</w:t>
      </w:r>
    </w:p>
    <w:p>
      <w:pPr>
        <w:sectPr>
          <w:headerReference w:type="default" r:id="rId13"/>
          <w:footerReference w:type="default" r:id="rId14"/>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APPLICATION / REDACTED CAPTURE</w:t>
      </w:r>
    </w:p>
    <w:p>
      <w:pPr>
        <w:spacing w:after="140"/>
      </w:pPr>
      <w:r>
        <w:rPr>
          <w:rFonts w:ascii="DejaVu Serif" w:cs="DejaVu Serif" w:eastAsia="DejaVu Serif" w:hAnsi="DejaVu Serif"/>
          <w:b/>
          <w:bCs/>
          <w:color w:val="182824"/>
          <w:sz w:val="30"/>
          <w:szCs w:val="30"/>
        </w:rPr>
        <w:t xml:space="preserve">Understand consumption and source coverage</w:t>
      </w:r>
    </w:p>
    <w:p>
      <w:pPr>
        <w:spacing w:after="100"/>
      </w:pPr>
      <w:r>
        <w:drawing>
          <wp:inline distT="0" distB="0" distL="0" distR="0">
            <wp:extent cx="8858250" cy="5314950"/>
            <wp:effectExtent t="0" r="0" b="0" l="0"/>
            <wp:docPr id="1" name="Understand consumption and source coverage" descr="Observed assessment view. Confidential amounts and identities are covered. Missing-source warnings remain visible; empty charts are not populated with invented data." title="Understand consumption and source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8858250" cy="5314950"/>
                    </a:xfrm>
                    <a:prstGeom prst="rect">
                      <a:avLst/>
                    </a:prstGeom>
                  </pic:spPr>
                </pic:pic>
              </a:graphicData>
            </a:graphic>
          </wp:inline>
        </w:drawing>
      </w:r>
    </w:p>
    <w:p>
      <w:pPr>
        <w:spacing w:after="120"/>
      </w:pPr>
      <w:r>
        <w:rPr>
          <w:rFonts w:ascii="DejaVu Sans" w:cs="DejaVu Sans" w:eastAsia="DejaVu Sans" w:hAnsi="DejaVu Sans"/>
          <w:b/>
          <w:bCs/>
          <w:color w:val="31483F"/>
          <w:sz w:val="19"/>
          <w:szCs w:val="19"/>
        </w:rPr>
        <w:t xml:space="preserve">Read availability warnings alongside consumption before making comparisons.</w:t>
      </w:r>
    </w:p>
    <w:p>
      <w:pPr>
        <w:spacing w:after="120"/>
      </w:pPr>
      <w:r>
        <w:rPr>
          <w:rFonts w:ascii="DejaVu Sans" w:cs="DejaVu Sans" w:eastAsia="DejaVu Sans" w:hAnsi="DejaVu Sans"/>
          <w:color w:val="52635E"/>
          <w:sz w:val="17"/>
          <w:szCs w:val="17"/>
        </w:rPr>
        <w:t xml:space="preserve">Observed assessment view. Confidential amounts and identities are covered. Missing-source warnings remain visible; empty charts are not populated with invented data.</w:t>
      </w:r>
    </w:p>
    <w:p>
      <w:pPr>
        <w:sectPr>
          <w:headerReference w:type="default" r:id="rId15"/>
          <w:footerReference w:type="default" r:id="rId16"/>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APPLICATION / REDACTED CAPTURE</w:t>
      </w:r>
    </w:p>
    <w:p>
      <w:pPr>
        <w:spacing w:after="140"/>
      </w:pPr>
      <w:r>
        <w:rPr>
          <w:rFonts w:ascii="DejaVu Serif" w:cs="DejaVu Serif" w:eastAsia="DejaVu Serif" w:hAnsi="DejaVu Serif"/>
          <w:b/>
          <w:bCs/>
          <w:color w:val="182824"/>
          <w:sz w:val="30"/>
          <w:szCs w:val="30"/>
        </w:rPr>
        <w:t xml:space="preserve">Separate the included pool from metered budgets</w:t>
      </w:r>
    </w:p>
    <w:p>
      <w:pPr>
        <w:spacing w:after="100"/>
      </w:pPr>
      <w:r>
        <w:drawing>
          <wp:inline distT="0" distB="0" distL="0" distR="0">
            <wp:extent cx="8858250" cy="5314950"/>
            <wp:effectExtent t="0" r="0" b="0" l="0"/>
            <wp:docPr id="1" name="Separate the included pool from metered budgets" descr="Included pool and governance configuration. Values are confidential; the captured state is not evidence that provider controls are enforced." title="Separate the included pool from metered bud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8858250" cy="5314950"/>
                    </a:xfrm>
                    <a:prstGeom prst="rect">
                      <a:avLst/>
                    </a:prstGeom>
                  </pic:spPr>
                </pic:pic>
              </a:graphicData>
            </a:graphic>
          </wp:inline>
        </w:drawing>
      </w:r>
    </w:p>
    <w:p>
      <w:pPr>
        <w:spacing w:after="120"/>
      </w:pPr>
      <w:r>
        <w:rPr>
          <w:rFonts w:ascii="DejaVu Sans" w:cs="DejaVu Sans" w:eastAsia="DejaVu Sans" w:hAnsi="DejaVu Sans"/>
          <w:b/>
          <w:bCs/>
          <w:color w:val="31483F"/>
          <w:sz w:val="19"/>
          <w:szCs w:val="19"/>
        </w:rPr>
        <w:t xml:space="preserve">Keep included entitlements distinct from metered budget controls.</w:t>
      </w:r>
    </w:p>
    <w:p>
      <w:pPr>
        <w:spacing w:after="120"/>
      </w:pPr>
      <w:r>
        <w:rPr>
          <w:rFonts w:ascii="DejaVu Sans" w:cs="DejaVu Sans" w:eastAsia="DejaVu Sans" w:hAnsi="DejaVu Sans"/>
          <w:color w:val="52635E"/>
          <w:sz w:val="17"/>
          <w:szCs w:val="17"/>
        </w:rPr>
        <w:t xml:space="preserve">Included pool and governance configuration. Values are confidential; the captured state is not evidence that provider controls are enforced.</w:t>
      </w:r>
    </w:p>
    <w:p>
      <w:pPr>
        <w:sectPr>
          <w:headerReference w:type="default" r:id="rId17"/>
          <w:footerReference w:type="default" r:id="rId18"/>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APPLICATION / REDACTED CAPTURE</w:t>
      </w:r>
    </w:p>
    <w:p>
      <w:pPr>
        <w:spacing w:after="140"/>
      </w:pPr>
      <w:r>
        <w:rPr>
          <w:rFonts w:ascii="DejaVu Serif" w:cs="DejaVu Serif" w:eastAsia="DejaVu Serif" w:hAnsi="DejaVu Serif"/>
          <w:b/>
          <w:bCs/>
          <w:color w:val="182824"/>
          <w:sz w:val="30"/>
          <w:szCs w:val="30"/>
        </w:rPr>
        <w:t xml:space="preserve">Governance inventory / Budgets</w:t>
      </w:r>
    </w:p>
    <w:p>
      <w:pPr>
        <w:spacing w:after="100"/>
      </w:pPr>
      <w:r>
        <w:drawing>
          <wp:inline distT="0" distB="0" distL="0" distR="0">
            <wp:extent cx="8858250" cy="5314950"/>
            <wp:effectExtent t="0" r="0" b="0" l="0"/>
            <wp:docPr id="1" name="Governance inventory / Budgets" descr="Live inventory, first visible rows. Identifiers are pseudonymous; amounts and private values are redacted. Unknown and unavailable data remain unknown." title="Governance inventory / Bud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8858250" cy="5314950"/>
                    </a:xfrm>
                    <a:prstGeom prst="rect">
                      <a:avLst/>
                    </a:prstGeom>
                  </pic:spPr>
                </pic:pic>
              </a:graphicData>
            </a:graphic>
          </wp:inline>
        </w:drawing>
      </w:r>
    </w:p>
    <w:p>
      <w:pPr>
        <w:spacing w:after="120"/>
      </w:pPr>
      <w:r>
        <w:rPr>
          <w:rFonts w:ascii="DejaVu Sans" w:cs="DejaVu Sans" w:eastAsia="DejaVu Sans" w:hAnsi="DejaVu Sans"/>
          <w:b/>
          <w:bCs/>
          <w:color w:val="31483F"/>
          <w:sz w:val="19"/>
          <w:szCs w:val="19"/>
        </w:rPr>
        <w:t xml:space="preserve">Inspect budget scope and behavior before assigning control ownership.</w:t>
      </w:r>
    </w:p>
    <w:p>
      <w:pPr>
        <w:spacing w:after="120"/>
      </w:pPr>
      <w:r>
        <w:rPr>
          <w:rFonts w:ascii="DejaVu Sans" w:cs="DejaVu Sans" w:eastAsia="DejaVu Sans" w:hAnsi="DejaVu Sans"/>
          <w:color w:val="52635E"/>
          <w:sz w:val="17"/>
          <w:szCs w:val="17"/>
        </w:rPr>
        <w:t xml:space="preserve">Live inventory, first visible rows. Identifiers are pseudonymous; amounts and private values are redacted. Unknown and unavailable data remain unknown.</w:t>
      </w:r>
    </w:p>
    <w:p>
      <w:pPr>
        <w:sectPr>
          <w:headerReference w:type="default" r:id="rId19"/>
          <w:footerReference w:type="default" r:id="rId20"/>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APPLICATION / REDACTED CAPTURE</w:t>
      </w:r>
    </w:p>
    <w:p>
      <w:pPr>
        <w:spacing w:after="140"/>
      </w:pPr>
      <w:r>
        <w:rPr>
          <w:rFonts w:ascii="DejaVu Serif" w:cs="DejaVu Serif" w:eastAsia="DejaVu Serif" w:hAnsi="DejaVu Serif"/>
          <w:b/>
          <w:bCs/>
          <w:color w:val="182824"/>
          <w:sz w:val="30"/>
          <w:szCs w:val="30"/>
        </w:rPr>
        <w:t xml:space="preserve">Governance inventory / Cost centers</w:t>
      </w:r>
    </w:p>
    <w:p>
      <w:pPr>
        <w:spacing w:after="100"/>
      </w:pPr>
      <w:r>
        <w:drawing>
          <wp:inline distT="0" distB="0" distL="0" distR="0">
            <wp:extent cx="8858250" cy="5314950"/>
            <wp:effectExtent t="0" r="0" b="0" l="0"/>
            <wp:docPr id="1" name="Governance inventory / Cost centers" descr="Live inventory, first visible rows. Identifiers are pseudonymous; amounts and private values are redacted. Unknown and unavailable data remain unknown." title="Governance inventory / Cost ce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8858250" cy="5314950"/>
                    </a:xfrm>
                    <a:prstGeom prst="rect">
                      <a:avLst/>
                    </a:prstGeom>
                  </pic:spPr>
                </pic:pic>
              </a:graphicData>
            </a:graphic>
          </wp:inline>
        </w:drawing>
      </w:r>
    </w:p>
    <w:p>
      <w:pPr>
        <w:spacing w:after="120"/>
      </w:pPr>
      <w:r>
        <w:rPr>
          <w:rFonts w:ascii="DejaVu Sans" w:cs="DejaVu Sans" w:eastAsia="DejaVu Sans" w:hAnsi="DejaVu Sans"/>
          <w:b/>
          <w:bCs/>
          <w:color w:val="31483F"/>
          <w:sz w:val="19"/>
          <w:szCs w:val="19"/>
        </w:rPr>
        <w:t xml:space="preserve">Connect financial accountability to the cost-center inventory.</w:t>
      </w:r>
    </w:p>
    <w:p>
      <w:pPr>
        <w:spacing w:after="120"/>
      </w:pPr>
      <w:r>
        <w:rPr>
          <w:rFonts w:ascii="DejaVu Sans" w:cs="DejaVu Sans" w:eastAsia="DejaVu Sans" w:hAnsi="DejaVu Sans"/>
          <w:color w:val="52635E"/>
          <w:sz w:val="17"/>
          <w:szCs w:val="17"/>
        </w:rPr>
        <w:t xml:space="preserve">Live inventory, first visible rows. Identifiers are pseudonymous; amounts and private values are redacted. Unknown and unavailable data remain unknown.</w:t>
      </w:r>
    </w:p>
    <w:p>
      <w:pPr>
        <w:sectPr>
          <w:headerReference w:type="default" r:id="rId21"/>
          <w:footerReference w:type="default" r:id="rId22"/>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APPLICATION / REDACTED CAPTURE</w:t>
      </w:r>
    </w:p>
    <w:p>
      <w:pPr>
        <w:spacing w:after="140"/>
      </w:pPr>
      <w:r>
        <w:rPr>
          <w:rFonts w:ascii="DejaVu Serif" w:cs="DejaVu Serif" w:eastAsia="DejaVu Serif" w:hAnsi="DejaVu Serif"/>
          <w:b/>
          <w:bCs/>
          <w:color w:val="182824"/>
          <w:sz w:val="30"/>
          <w:szCs w:val="30"/>
        </w:rPr>
        <w:t xml:space="preserve">Governance inventory / Organizations</w:t>
      </w:r>
    </w:p>
    <w:p>
      <w:pPr>
        <w:spacing w:after="100"/>
      </w:pPr>
      <w:r>
        <w:drawing>
          <wp:inline distT="0" distB="0" distL="0" distR="0">
            <wp:extent cx="8858250" cy="5314950"/>
            <wp:effectExtent t="0" r="0" b="0" l="0"/>
            <wp:docPr id="1" name="Governance inventory / Organizations" descr="Live inventory, first visible rows. Identifiers are pseudonymous; amounts and private values are redacted. Unknown and unavailable data remain unknown." title="Governance inventory / Organiz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8858250" cy="5314950"/>
                    </a:xfrm>
                    <a:prstGeom prst="rect">
                      <a:avLst/>
                    </a:prstGeom>
                  </pic:spPr>
                </pic:pic>
              </a:graphicData>
            </a:graphic>
          </wp:inline>
        </w:drawing>
      </w:r>
    </w:p>
    <w:p>
      <w:pPr>
        <w:spacing w:after="120"/>
      </w:pPr>
      <w:r>
        <w:rPr>
          <w:rFonts w:ascii="DejaVu Sans" w:cs="DejaVu Sans" w:eastAsia="DejaVu Sans" w:hAnsi="DejaVu Sans"/>
          <w:b/>
          <w:bCs/>
          <w:color w:val="31483F"/>
          <w:sz w:val="19"/>
          <w:szCs w:val="19"/>
        </w:rPr>
        <w:t xml:space="preserve">See the organizational context behind enterprise-wide governance.</w:t>
      </w:r>
    </w:p>
    <w:p>
      <w:pPr>
        <w:spacing w:after="120"/>
      </w:pPr>
      <w:r>
        <w:rPr>
          <w:rFonts w:ascii="DejaVu Sans" w:cs="DejaVu Sans" w:eastAsia="DejaVu Sans" w:hAnsi="DejaVu Sans"/>
          <w:color w:val="52635E"/>
          <w:sz w:val="17"/>
          <w:szCs w:val="17"/>
        </w:rPr>
        <w:t xml:space="preserve">Live inventory, first visible rows. Identifiers are pseudonymous; amounts and private values are redacted. Unknown and unavailable data remain unknown.</w:t>
      </w:r>
    </w:p>
    <w:p>
      <w:pPr>
        <w:sectPr>
          <w:headerReference w:type="default" r:id="rId23"/>
          <w:footerReference w:type="default" r:id="rId24"/>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APPLICATION / REDACTED CAPTURE</w:t>
      </w:r>
    </w:p>
    <w:p>
      <w:pPr>
        <w:spacing w:after="140"/>
      </w:pPr>
      <w:r>
        <w:rPr>
          <w:rFonts w:ascii="DejaVu Serif" w:cs="DejaVu Serif" w:eastAsia="DejaVu Serif" w:hAnsi="DejaVu Serif"/>
          <w:b/>
          <w:bCs/>
          <w:color w:val="182824"/>
          <w:sz w:val="30"/>
          <w:szCs w:val="30"/>
        </w:rPr>
        <w:t xml:space="preserve">Governance inventory / Teams</w:t>
      </w:r>
    </w:p>
    <w:p>
      <w:pPr>
        <w:spacing w:after="100"/>
      </w:pPr>
      <w:r>
        <w:drawing>
          <wp:inline distT="0" distB="0" distL="0" distR="0">
            <wp:extent cx="8858250" cy="5314950"/>
            <wp:effectExtent t="0" r="0" b="0" l="0"/>
            <wp:docPr id="1" name="Governance inventory / Teams" descr="Live inventory, first visible rows. Identifiers are pseudonymous; amounts and private values are redacted. Unknown and unavailable data remain unknown." title="Governance inventory /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8858250" cy="5314950"/>
                    </a:xfrm>
                    <a:prstGeom prst="rect">
                      <a:avLst/>
                    </a:prstGeom>
                  </pic:spPr>
                </pic:pic>
              </a:graphicData>
            </a:graphic>
          </wp:inline>
        </w:drawing>
      </w:r>
    </w:p>
    <w:p>
      <w:pPr>
        <w:spacing w:after="120"/>
      </w:pPr>
      <w:r>
        <w:rPr>
          <w:rFonts w:ascii="DejaVu Sans" w:cs="DejaVu Sans" w:eastAsia="DejaVu Sans" w:hAnsi="DejaVu Sans"/>
          <w:b/>
          <w:bCs/>
          <w:color w:val="31483F"/>
          <w:sz w:val="19"/>
          <w:szCs w:val="19"/>
        </w:rPr>
        <w:t xml:space="preserve">Bring team structure into the governance conversation.</w:t>
      </w:r>
    </w:p>
    <w:p>
      <w:pPr>
        <w:spacing w:after="120"/>
      </w:pPr>
      <w:r>
        <w:rPr>
          <w:rFonts w:ascii="DejaVu Sans" w:cs="DejaVu Sans" w:eastAsia="DejaVu Sans" w:hAnsi="DejaVu Sans"/>
          <w:color w:val="52635E"/>
          <w:sz w:val="17"/>
          <w:szCs w:val="17"/>
        </w:rPr>
        <w:t xml:space="preserve">Live inventory, first visible rows. Identifiers are pseudonymous; amounts and private values are redacted. Unknown and unavailable data remain unknown.</w:t>
      </w:r>
    </w:p>
    <w:p>
      <w:pPr>
        <w:sectPr>
          <w:headerReference w:type="default" r:id="rId25"/>
          <w:footerReference w:type="default" r:id="rId26"/>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APPLICATION / REDACTED CAPTURE</w:t>
      </w:r>
    </w:p>
    <w:p>
      <w:pPr>
        <w:spacing w:after="140"/>
      </w:pPr>
      <w:r>
        <w:rPr>
          <w:rFonts w:ascii="DejaVu Serif" w:cs="DejaVu Serif" w:eastAsia="DejaVu Serif" w:hAnsi="DejaVu Serif"/>
          <w:b/>
          <w:bCs/>
          <w:color w:val="182824"/>
          <w:sz w:val="30"/>
          <w:szCs w:val="30"/>
        </w:rPr>
        <w:t xml:space="preserve">Governance inventory / Users</w:t>
      </w:r>
    </w:p>
    <w:p>
      <w:pPr>
        <w:spacing w:after="100"/>
      </w:pPr>
      <w:r>
        <w:drawing>
          <wp:inline distT="0" distB="0" distL="0" distR="0">
            <wp:extent cx="8858250" cy="5314950"/>
            <wp:effectExtent t="0" r="0" b="0" l="0"/>
            <wp:docPr id="1" name="Governance inventory / Users" descr="Live inventory, first visible rows. Identifiers are pseudonymous; amounts and private values are redacted. Unknown and unavailable data remain unknown." title="Governance inventory /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8858250" cy="5314950"/>
                    </a:xfrm>
                    <a:prstGeom prst="rect">
                      <a:avLst/>
                    </a:prstGeom>
                  </pic:spPr>
                </pic:pic>
              </a:graphicData>
            </a:graphic>
          </wp:inline>
        </w:drawing>
      </w:r>
    </w:p>
    <w:p>
      <w:pPr>
        <w:spacing w:after="120"/>
      </w:pPr>
      <w:r>
        <w:rPr>
          <w:rFonts w:ascii="DejaVu Sans" w:cs="DejaVu Sans" w:eastAsia="DejaVu Sans" w:hAnsi="DejaVu Sans"/>
          <w:b/>
          <w:bCs/>
          <w:color w:val="31483F"/>
          <w:sz w:val="19"/>
          <w:szCs w:val="19"/>
        </w:rPr>
        <w:t xml:space="preserve">Inspect the user-level view without disclosing personal identifiers.</w:t>
      </w:r>
    </w:p>
    <w:p>
      <w:pPr>
        <w:spacing w:after="120"/>
      </w:pPr>
      <w:r>
        <w:rPr>
          <w:rFonts w:ascii="DejaVu Sans" w:cs="DejaVu Sans" w:eastAsia="DejaVu Sans" w:hAnsi="DejaVu Sans"/>
          <w:color w:val="52635E"/>
          <w:sz w:val="17"/>
          <w:szCs w:val="17"/>
        </w:rPr>
        <w:t xml:space="preserve">Live inventory, first visible rows. Identifiers are pseudonymous; amounts and private values are redacted. Unknown and unavailable data remain unknown.</w:t>
      </w:r>
    </w:p>
    <w:p>
      <w:pPr>
        <w:sectPr>
          <w:headerReference w:type="default" r:id="rId27"/>
          <w:footerReference w:type="default" r:id="rId28"/>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CONCEPT / PRODUCT CONTEXT</w:t>
      </w:r>
    </w:p>
    <w:p>
      <w:pPr>
        <w:spacing w:after="140"/>
      </w:pPr>
      <w:r>
        <w:rPr>
          <w:rFonts w:ascii="DejaVu Serif" w:cs="DejaVu Serif" w:eastAsia="DejaVu Serif" w:hAnsi="DejaVu Serif"/>
          <w:b/>
          <w:bCs/>
          <w:color w:val="182824"/>
          <w:sz w:val="30"/>
          <w:szCs w:val="30"/>
        </w:rPr>
        <w:t xml:space="preserve">Make assumptions visible before decisions.</w:t>
      </w:r>
    </w:p>
    <w:p>
      <w:pPr>
        <w:spacing w:after="100"/>
      </w:pPr>
      <w:r>
        <w:drawing>
          <wp:inline distT="0" distB="0" distL="0" distR="0">
            <wp:extent cx="8858250" cy="4982766"/>
            <wp:effectExtent t="0" r="0" b="0" l="0"/>
            <wp:docPr id="1" name="Make assumptions visible before decisions." descr="Three surfaces let stakeholders inspect the shape of a plan." title="Make assumptions visible before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8858250" cy="4982766"/>
                    </a:xfrm>
                    <a:prstGeom prst="rect">
                      <a:avLst/>
                    </a:prstGeom>
                  </pic:spPr>
                </pic:pic>
              </a:graphicData>
            </a:graphic>
          </wp:inline>
        </w:drawing>
      </w:r>
    </w:p>
    <w:p>
      <w:pPr>
        <w:spacing w:after="120"/>
      </w:pPr>
      <w:r>
        <w:rPr>
          <w:rFonts w:ascii="DejaVu Sans" w:cs="DejaVu Sans" w:eastAsia="DejaVu Sans" w:hAnsi="DejaVu Sans"/>
          <w:color w:val="52635E"/>
          <w:sz w:val="17"/>
          <w:szCs w:val="17"/>
        </w:rPr>
        <w:t xml:space="preserve">Three surfaces let stakeholders inspect the shape of a plan.</w:t>
      </w:r>
    </w:p>
    <w:p>
      <w:pPr>
        <w:sectPr>
          <w:headerReference w:type="default" r:id="rId29"/>
          <w:footerReference w:type="default" r:id="rId30"/>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APPLICATION / REDACTED CAPTURE</w:t>
      </w:r>
    </w:p>
    <w:p>
      <w:pPr>
        <w:spacing w:after="140"/>
      </w:pPr>
      <w:r>
        <w:rPr>
          <w:rFonts w:ascii="DejaVu Serif" w:cs="DejaVu Serif" w:eastAsia="DejaVu Serif" w:hAnsi="DejaVu Serif"/>
          <w:b/>
          <w:bCs/>
          <w:color w:val="182824"/>
          <w:sz w:val="30"/>
          <w:szCs w:val="30"/>
        </w:rPr>
        <w:t xml:space="preserve">Model license pools and credit exposure</w:t>
      </w:r>
    </w:p>
    <w:p>
      <w:pPr>
        <w:spacing w:after="100"/>
      </w:pPr>
      <w:r>
        <w:drawing>
          <wp:inline distT="0" distB="0" distL="0" distR="0">
            <wp:extent cx="8858250" cy="5314950"/>
            <wp:effectExtent t="0" r="0" b="0" l="0"/>
            <wp:docPr id="1" name="Model license pools and credit exposure" descr="Planning inputs restored from the live workflow. These may include assumptions requiring confirmation; projected outcomes are not observed provider enforcement." title="Model license pools and credit exp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8858250" cy="5314950"/>
                    </a:xfrm>
                    <a:prstGeom prst="rect">
                      <a:avLst/>
                    </a:prstGeom>
                  </pic:spPr>
                </pic:pic>
              </a:graphicData>
            </a:graphic>
          </wp:inline>
        </w:drawing>
      </w:r>
    </w:p>
    <w:p>
      <w:pPr>
        <w:spacing w:after="120"/>
      </w:pPr>
      <w:r>
        <w:rPr>
          <w:rFonts w:ascii="DejaVu Sans" w:cs="DejaVu Sans" w:eastAsia="DejaVu Sans" w:hAnsi="DejaVu Sans"/>
          <w:b/>
          <w:bCs/>
          <w:color w:val="31483F"/>
          <w:sz w:val="19"/>
          <w:szCs w:val="19"/>
        </w:rPr>
        <w:t xml:space="preserve">Explain which planning assumptions determine the available credit pool.</w:t>
      </w:r>
    </w:p>
    <w:p>
      <w:pPr>
        <w:spacing w:after="120"/>
      </w:pPr>
      <w:r>
        <w:rPr>
          <w:rFonts w:ascii="DejaVu Sans" w:cs="DejaVu Sans" w:eastAsia="DejaVu Sans" w:hAnsi="DejaVu Sans"/>
          <w:color w:val="52635E"/>
          <w:sz w:val="17"/>
          <w:szCs w:val="17"/>
        </w:rPr>
        <w:t xml:space="preserve">Planning inputs restored from the live workflow. These may include assumptions requiring confirmation; projected outcomes are not observed provider enforcement.</w:t>
      </w:r>
    </w:p>
    <w:p>
      <w:pPr>
        <w:sectPr>
          <w:headerReference w:type="default" r:id="rId31"/>
          <w:footerReference w:type="default" r:id="rId32"/>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APPLICATION / REDACTED CAPTURE</w:t>
      </w:r>
    </w:p>
    <w:p>
      <w:pPr>
        <w:spacing w:after="140"/>
      </w:pPr>
      <w:r>
        <w:rPr>
          <w:rFonts w:ascii="DejaVu Serif" w:cs="DejaVu Serif" w:eastAsia="DejaVu Serif" w:hAnsi="DejaVu Serif"/>
          <w:b/>
          <w:bCs/>
          <w:color w:val="182824"/>
          <w:sz w:val="30"/>
          <w:szCs w:val="30"/>
        </w:rPr>
        <w:t xml:space="preserve">Allocate developer populations</w:t>
      </w:r>
    </w:p>
    <w:p>
      <w:pPr>
        <w:spacing w:after="100"/>
      </w:pPr>
      <w:r>
        <w:drawing>
          <wp:inline distT="0" distB="0" distL="0" distR="0">
            <wp:extent cx="8858250" cy="5314950"/>
            <wp:effectExtent t="0" r="0" b="0" l="0"/>
            <wp:docPr id="1" name="Allocate developer populations" descr="Population allocation view. Confidential input values and calculated outputs are masked. No changes are saved to the live account." title="Allocate developer popu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8858250" cy="5314950"/>
                    </a:xfrm>
                    <a:prstGeom prst="rect">
                      <a:avLst/>
                    </a:prstGeom>
                  </pic:spPr>
                </pic:pic>
              </a:graphicData>
            </a:graphic>
          </wp:inline>
        </w:drawing>
      </w:r>
    </w:p>
    <w:p>
      <w:pPr>
        <w:spacing w:after="120"/>
      </w:pPr>
      <w:r>
        <w:rPr>
          <w:rFonts w:ascii="DejaVu Sans" w:cs="DejaVu Sans" w:eastAsia="DejaVu Sans" w:hAnsi="DejaVu Sans"/>
          <w:b/>
          <w:bCs/>
          <w:color w:val="31483F"/>
          <w:sz w:val="19"/>
          <w:szCs w:val="19"/>
        </w:rPr>
        <w:t xml:space="preserve">Make the demand assumptions behind a projection explicit.</w:t>
      </w:r>
    </w:p>
    <w:p>
      <w:pPr>
        <w:spacing w:after="120"/>
      </w:pPr>
      <w:r>
        <w:rPr>
          <w:rFonts w:ascii="DejaVu Sans" w:cs="DejaVu Sans" w:eastAsia="DejaVu Sans" w:hAnsi="DejaVu Sans"/>
          <w:color w:val="52635E"/>
          <w:sz w:val="17"/>
          <w:szCs w:val="17"/>
        </w:rPr>
        <w:t xml:space="preserve">Population allocation view. Confidential input values and calculated outputs are masked. No changes are saved to the live account.</w:t>
      </w:r>
    </w:p>
    <w:p>
      <w:pPr>
        <w:sectPr>
          <w:headerReference w:type="default" r:id="rId33"/>
          <w:footerReference w:type="default" r:id="rId34"/>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APPLICATION / REDACTED CAPTURE</w:t>
      </w:r>
    </w:p>
    <w:p>
      <w:pPr>
        <w:spacing w:after="140"/>
      </w:pPr>
      <w:r>
        <w:rPr>
          <w:rFonts w:ascii="DejaVu Serif" w:cs="DejaVu Serif" w:eastAsia="DejaVu Serif" w:hAnsi="DejaVu Serif"/>
          <w:b/>
          <w:bCs/>
          <w:color w:val="182824"/>
          <w:sz w:val="30"/>
          <w:szCs w:val="30"/>
        </w:rPr>
        <w:t xml:space="preserve">Compare options without changing provider controls</w:t>
      </w:r>
    </w:p>
    <w:p>
      <w:pPr>
        <w:spacing w:after="100"/>
      </w:pPr>
      <w:r>
        <w:drawing>
          <wp:inline distT="0" distB="0" distL="0" distR="0">
            <wp:extent cx="8858250" cy="5314950"/>
            <wp:effectExtent t="0" r="0" b="0" l="0"/>
            <wp:docPr id="1" name="Compare options without changing provider controls" descr="What-if workspace. No saved scenario set was imported for this capture; the empty state is retained rather than implying a completed comparison." title="Compare options without changing provider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8858250" cy="5314950"/>
                    </a:xfrm>
                    <a:prstGeom prst="rect">
                      <a:avLst/>
                    </a:prstGeom>
                  </pic:spPr>
                </pic:pic>
              </a:graphicData>
            </a:graphic>
          </wp:inline>
        </w:drawing>
      </w:r>
    </w:p>
    <w:p>
      <w:pPr>
        <w:spacing w:after="120"/>
      </w:pPr>
      <w:r>
        <w:rPr>
          <w:rFonts w:ascii="DejaVu Sans" w:cs="DejaVu Sans" w:eastAsia="DejaVu Sans" w:hAnsi="DejaVu Sans"/>
          <w:b/>
          <w:bCs/>
          <w:color w:val="31483F"/>
          <w:sz w:val="19"/>
          <w:szCs w:val="19"/>
        </w:rPr>
        <w:t xml:space="preserve">Create space to compare alternatives before committing to a plan.</w:t>
      </w:r>
    </w:p>
    <w:p>
      <w:pPr>
        <w:spacing w:after="120"/>
      </w:pPr>
      <w:r>
        <w:rPr>
          <w:rFonts w:ascii="DejaVu Sans" w:cs="DejaVu Sans" w:eastAsia="DejaVu Sans" w:hAnsi="DejaVu Sans"/>
          <w:color w:val="52635E"/>
          <w:sz w:val="17"/>
          <w:szCs w:val="17"/>
        </w:rPr>
        <w:t xml:space="preserve">What-if workspace. No saved scenario set was imported for this capture; the empty state is retained rather than implying a completed comparison.</w:t>
      </w:r>
    </w:p>
    <w:p>
      <w:pPr>
        <w:sectPr>
          <w:headerReference w:type="default" r:id="rId35"/>
          <w:footerReference w:type="default" r:id="rId36"/>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APPLICATION / REDACTED CAPTURE</w:t>
      </w:r>
    </w:p>
    <w:p>
      <w:pPr>
        <w:spacing w:after="140"/>
      </w:pPr>
      <w:r>
        <w:rPr>
          <w:rFonts w:ascii="DejaVu Serif" w:cs="DejaVu Serif" w:eastAsia="DejaVu Serif" w:hAnsi="DejaVu Serif"/>
          <w:b/>
          <w:bCs/>
          <w:color w:val="182824"/>
          <w:sz w:val="30"/>
          <w:szCs w:val="30"/>
        </w:rPr>
        <w:t xml:space="preserve">Snapshot the current planning configuration</w:t>
      </w:r>
    </w:p>
    <w:p>
      <w:pPr>
        <w:spacing w:after="100"/>
      </w:pPr>
      <w:r>
        <w:drawing>
          <wp:inline distT="0" distB="0" distL="0" distR="0">
            <wp:extent cx="8858250" cy="5314950"/>
            <wp:effectExtent t="0" r="0" b="0" l="0"/>
            <wp:docPr id="1" name="Snapshot the current planning configuration" descr="Presentation-only interaction: the current configuration was snapshotted in the isolated browser. It is not an approved scenario or a production write." title="Snapshot the current planning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8858250" cy="5314950"/>
                    </a:xfrm>
                    <a:prstGeom prst="rect">
                      <a:avLst/>
                    </a:prstGeom>
                  </pic:spPr>
                </pic:pic>
              </a:graphicData>
            </a:graphic>
          </wp:inline>
        </w:drawing>
      </w:r>
    </w:p>
    <w:p>
      <w:pPr>
        <w:spacing w:after="120"/>
      </w:pPr>
      <w:r>
        <w:rPr>
          <w:rFonts w:ascii="DejaVu Sans" w:cs="DejaVu Sans" w:eastAsia="DejaVu Sans" w:hAnsi="DejaVu Sans"/>
          <w:b/>
          <w:bCs/>
          <w:color w:val="31483F"/>
          <w:sz w:val="19"/>
          <w:szCs w:val="19"/>
        </w:rPr>
        <w:t xml:space="preserve">Preserve an option for discussion without changing live provider controls.</w:t>
      </w:r>
    </w:p>
    <w:p>
      <w:pPr>
        <w:spacing w:after="120"/>
      </w:pPr>
      <w:r>
        <w:rPr>
          <w:rFonts w:ascii="DejaVu Sans" w:cs="DejaVu Sans" w:eastAsia="DejaVu Sans" w:hAnsi="DejaVu Sans"/>
          <w:color w:val="52635E"/>
          <w:sz w:val="17"/>
          <w:szCs w:val="17"/>
        </w:rPr>
        <w:t xml:space="preserve">Presentation-only interaction: the current configuration was snapshotted in the isolated browser. It is not an approved scenario or a production write.</w:t>
      </w:r>
    </w:p>
    <w:p>
      <w:pPr>
        <w:sectPr>
          <w:headerReference w:type="default" r:id="rId37"/>
          <w:footerReference w:type="default" r:id="rId38"/>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CONCEPT / PRODUCT CONTEXT</w:t>
      </w:r>
    </w:p>
    <w:p>
      <w:pPr>
        <w:spacing w:after="140"/>
      </w:pPr>
      <w:r>
        <w:rPr>
          <w:rFonts w:ascii="DejaVu Serif" w:cs="DejaVu Serif" w:eastAsia="DejaVu Serif" w:hAnsi="DejaVu Serif"/>
          <w:b/>
          <w:bCs/>
          <w:color w:val="182824"/>
          <w:sz w:val="30"/>
          <w:szCs w:val="30"/>
        </w:rPr>
        <w:t xml:space="preserve">Useful signals, explicit boundaries.</w:t>
      </w:r>
    </w:p>
    <w:p>
      <w:pPr>
        <w:spacing w:after="100"/>
      </w:pPr>
      <w:r>
        <w:drawing>
          <wp:inline distT="0" distB="0" distL="0" distR="0">
            <wp:extent cx="8858250" cy="4982766"/>
            <wp:effectExtent t="0" r="0" b="0" l="0"/>
            <wp:docPr id="1" name="Useful signals, explicit boundaries." descr="The interface supports a decision; it does not replace the decision owner." title="Useful signals, explici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8858250" cy="4982766"/>
                    </a:xfrm>
                    <a:prstGeom prst="rect">
                      <a:avLst/>
                    </a:prstGeom>
                  </pic:spPr>
                </pic:pic>
              </a:graphicData>
            </a:graphic>
          </wp:inline>
        </w:drawing>
      </w:r>
    </w:p>
    <w:p>
      <w:pPr>
        <w:spacing w:after="120"/>
      </w:pPr>
      <w:r>
        <w:rPr>
          <w:rFonts w:ascii="DejaVu Sans" w:cs="DejaVu Sans" w:eastAsia="DejaVu Sans" w:hAnsi="DejaVu Sans"/>
          <w:color w:val="52635E"/>
          <w:sz w:val="17"/>
          <w:szCs w:val="17"/>
        </w:rPr>
        <w:t xml:space="preserve">The interface supports a decision; it does not replace the decision owner.</w:t>
      </w:r>
    </w:p>
    <w:p>
      <w:pPr>
        <w:sectPr>
          <w:headerReference w:type="default" r:id="rId39"/>
          <w:footerReference w:type="default" r:id="rId40"/>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APPLICATION / REDACTED CAPTURE</w:t>
      </w:r>
    </w:p>
    <w:p>
      <w:pPr>
        <w:spacing w:after="140"/>
      </w:pPr>
      <w:r>
        <w:rPr>
          <w:rFonts w:ascii="DejaVu Serif" w:cs="DejaVu Serif" w:eastAsia="DejaVu Serif" w:hAnsi="DejaVu Serif"/>
          <w:b/>
          <w:bCs/>
          <w:color w:val="182824"/>
          <w:sz w:val="30"/>
          <w:szCs w:val="30"/>
        </w:rPr>
        <w:t xml:space="preserve">Bring the planning signals together</w:t>
      </w:r>
    </w:p>
    <w:p>
      <w:pPr>
        <w:spacing w:after="100"/>
      </w:pPr>
      <w:r>
        <w:drawing>
          <wp:inline distT="0" distB="0" distL="0" distR="0">
            <wp:extent cx="8858250" cy="5314950"/>
            <wp:effectExtent t="0" r="0" b="0" l="0"/>
            <wp:docPr id="1" name="Bring the planning signals together" descr="Derived planning view, opened in the isolated session. Readiness and STOP/CONTINUE indicators are simulator output, not verified provider decisions." title="Bring the planning signals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8858250" cy="5314950"/>
                    </a:xfrm>
                    <a:prstGeom prst="rect">
                      <a:avLst/>
                    </a:prstGeom>
                  </pic:spPr>
                </pic:pic>
              </a:graphicData>
            </a:graphic>
          </wp:inline>
        </w:drawing>
      </w:r>
    </w:p>
    <w:p>
      <w:pPr>
        <w:spacing w:after="120"/>
      </w:pPr>
      <w:r>
        <w:rPr>
          <w:rFonts w:ascii="DejaVu Sans" w:cs="DejaVu Sans" w:eastAsia="DejaVu Sans" w:hAnsi="DejaVu Sans"/>
          <w:b/>
          <w:bCs/>
          <w:color w:val="31483F"/>
          <w:sz w:val="19"/>
          <w:szCs w:val="19"/>
        </w:rPr>
        <w:t xml:space="preserve">Bring several modeled signals into one review surface.</w:t>
      </w:r>
    </w:p>
    <w:p>
      <w:pPr>
        <w:spacing w:after="120"/>
      </w:pPr>
      <w:r>
        <w:rPr>
          <w:rFonts w:ascii="DejaVu Sans" w:cs="DejaVu Sans" w:eastAsia="DejaVu Sans" w:hAnsi="DejaVu Sans"/>
          <w:color w:val="52635E"/>
          <w:sz w:val="17"/>
          <w:szCs w:val="17"/>
        </w:rPr>
        <w:t xml:space="preserve">Derived planning view, opened in the isolated session. Readiness and STOP/CONTINUE indicators are simulator output, not verified provider decisions.</w:t>
      </w:r>
    </w:p>
    <w:p>
      <w:pPr>
        <w:sectPr>
          <w:headerReference w:type="default" r:id="rId41"/>
          <w:footerReference w:type="default" r:id="rId42"/>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APPLICATION / REDACTED CAPTURE</w:t>
      </w:r>
    </w:p>
    <w:p>
      <w:pPr>
        <w:spacing w:after="140"/>
      </w:pPr>
      <w:r>
        <w:rPr>
          <w:rFonts w:ascii="DejaVu Serif" w:cs="DejaVu Serif" w:eastAsia="DejaVu Serif" w:hAnsi="DejaVu Serif"/>
          <w:b/>
          <w:bCs/>
          <w:color w:val="182824"/>
          <w:sz w:val="30"/>
          <w:szCs w:val="30"/>
        </w:rPr>
        <w:t xml:space="preserve">Explain the credit-control sequence</w:t>
      </w:r>
    </w:p>
    <w:p>
      <w:pPr>
        <w:spacing w:after="100"/>
      </w:pPr>
      <w:r>
        <w:drawing>
          <wp:inline distT="0" distB="0" distL="0" distR="0">
            <wp:extent cx="8858250" cy="5314950"/>
            <wp:effectExtent t="0" r="0" b="0" l="0"/>
            <wp:docPr id="1" name="Explain the credit-control sequence" descr="The two-dimensional flow is the app's readable fallback. It explains modeled behavior; actual enforcement still requires current provider evidence." title="Explain the credit-control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8858250" cy="5314950"/>
                    </a:xfrm>
                    <a:prstGeom prst="rect">
                      <a:avLst/>
                    </a:prstGeom>
                  </pic:spPr>
                </pic:pic>
              </a:graphicData>
            </a:graphic>
          </wp:inline>
        </w:drawing>
      </w:r>
    </w:p>
    <w:p>
      <w:pPr>
        <w:spacing w:after="120"/>
      </w:pPr>
      <w:r>
        <w:rPr>
          <w:rFonts w:ascii="DejaVu Sans" w:cs="DejaVu Sans" w:eastAsia="DejaVu Sans" w:hAnsi="DejaVu Sans"/>
          <w:b/>
          <w:bCs/>
          <w:color w:val="31483F"/>
          <w:sz w:val="19"/>
          <w:szCs w:val="19"/>
        </w:rPr>
        <w:t xml:space="preserve">Use the readable flow to discuss modeled decision points.</w:t>
      </w:r>
    </w:p>
    <w:p>
      <w:pPr>
        <w:spacing w:after="120"/>
      </w:pPr>
      <w:r>
        <w:rPr>
          <w:rFonts w:ascii="DejaVu Sans" w:cs="DejaVu Sans" w:eastAsia="DejaVu Sans" w:hAnsi="DejaVu Sans"/>
          <w:color w:val="52635E"/>
          <w:sz w:val="17"/>
          <w:szCs w:val="17"/>
        </w:rPr>
        <w:t xml:space="preserve">The two-dimensional flow is the app's readable fallback. It explains modeled behavior; actual enforcement still requires current provider evidence.</w:t>
      </w:r>
    </w:p>
    <w:p>
      <w:pPr>
        <w:sectPr>
          <w:headerReference w:type="default" r:id="rId43"/>
          <w:footerReference w:type="default" r:id="rId44"/>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APPLICATION / REDACTED CAPTURE</w:t>
      </w:r>
    </w:p>
    <w:p>
      <w:pPr>
        <w:spacing w:after="140"/>
      </w:pPr>
      <w:r>
        <w:rPr>
          <w:rFonts w:ascii="DejaVu Serif" w:cs="DejaVu Serif" w:eastAsia="DejaVu Serif" w:hAnsi="DejaVu Serif"/>
          <w:b/>
          <w:bCs/>
          <w:color w:val="182824"/>
          <w:sz w:val="30"/>
          <w:szCs w:val="30"/>
        </w:rPr>
        <w:t xml:space="preserve">Translate modeled exposure into actions</w:t>
      </w:r>
    </w:p>
    <w:p>
      <w:pPr>
        <w:spacing w:after="100"/>
      </w:pPr>
      <w:r>
        <w:drawing>
          <wp:inline distT="0" distB="0" distL="0" distR="0">
            <wp:extent cx="8858250" cy="5314950"/>
            <wp:effectExtent t="0" r="0" b="0" l="0"/>
            <wp:docPr id="1" name="Translate modeled exposure into actions" descr="Recommendations are generated from the captured assessment and planning inputs. They are proposals, not approvals, executed changes, or guaranteed savings." title="Translate modeled exposure into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8858250" cy="5314950"/>
                    </a:xfrm>
                    <a:prstGeom prst="rect">
                      <a:avLst/>
                    </a:prstGeom>
                  </pic:spPr>
                </pic:pic>
              </a:graphicData>
            </a:graphic>
          </wp:inline>
        </w:drawing>
      </w:r>
    </w:p>
    <w:p>
      <w:pPr>
        <w:spacing w:after="120"/>
      </w:pPr>
      <w:r>
        <w:rPr>
          <w:rFonts w:ascii="DejaVu Sans" w:cs="DejaVu Sans" w:eastAsia="DejaVu Sans" w:hAnsi="DejaVu Sans"/>
          <w:b/>
          <w:bCs/>
          <w:color w:val="31483F"/>
          <w:sz w:val="19"/>
          <w:szCs w:val="19"/>
        </w:rPr>
        <w:t xml:space="preserve">Turn exposure into reviewable, scoped action proposals.</w:t>
      </w:r>
    </w:p>
    <w:p>
      <w:pPr>
        <w:spacing w:after="120"/>
      </w:pPr>
      <w:r>
        <w:rPr>
          <w:rFonts w:ascii="DejaVu Sans" w:cs="DejaVu Sans" w:eastAsia="DejaVu Sans" w:hAnsi="DejaVu Sans"/>
          <w:color w:val="52635E"/>
          <w:sz w:val="17"/>
          <w:szCs w:val="17"/>
        </w:rPr>
        <w:t xml:space="preserve">Recommendations are generated from the captured assessment and planning inputs. They are proposals, not approvals, executed changes, or guaranteed savings.</w:t>
      </w:r>
    </w:p>
    <w:p>
      <w:pPr>
        <w:sectPr>
          <w:headerReference w:type="default" r:id="rId45"/>
          <w:footerReference w:type="default" r:id="rId46"/>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CONCEPT / PRODUCT CONTEXT</w:t>
      </w:r>
    </w:p>
    <w:p>
      <w:pPr>
        <w:spacing w:after="140"/>
      </w:pPr>
      <w:r>
        <w:rPr>
          <w:rFonts w:ascii="DejaVu Serif" w:cs="DejaVu Serif" w:eastAsia="DejaVu Serif" w:hAnsi="DejaVu Serif"/>
          <w:b/>
          <w:bCs/>
          <w:color w:val="182824"/>
          <w:sz w:val="30"/>
          <w:szCs w:val="30"/>
        </w:rPr>
        <w:t xml:space="preserve">Tell the right story to the right audience.</w:t>
      </w:r>
    </w:p>
    <w:p>
      <w:pPr>
        <w:spacing w:after="100"/>
      </w:pPr>
      <w:r>
        <w:drawing>
          <wp:inline distT="0" distB="0" distL="0" distR="0">
            <wp:extent cx="8858250" cy="4982766"/>
            <wp:effectExtent t="0" r="0" b="0" l="0"/>
            <wp:docPr id="1" name="Tell the right story to the right audience." descr="One reporting area, three complementary perspectives." title="Tell the right story to the right aud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8858250" cy="4982766"/>
                    </a:xfrm>
                    <a:prstGeom prst="rect">
                      <a:avLst/>
                    </a:prstGeom>
                  </pic:spPr>
                </pic:pic>
              </a:graphicData>
            </a:graphic>
          </wp:inline>
        </w:drawing>
      </w:r>
    </w:p>
    <w:p>
      <w:pPr>
        <w:spacing w:after="120"/>
      </w:pPr>
      <w:r>
        <w:rPr>
          <w:rFonts w:ascii="DejaVu Sans" w:cs="DejaVu Sans" w:eastAsia="DejaVu Sans" w:hAnsi="DejaVu Sans"/>
          <w:color w:val="52635E"/>
          <w:sz w:val="17"/>
          <w:szCs w:val="17"/>
        </w:rPr>
        <w:t xml:space="preserve">One reporting area, three complementary perspectives.</w:t>
      </w:r>
    </w:p>
    <w:p>
      <w:pPr>
        <w:sectPr>
          <w:headerReference w:type="default" r:id="rId47"/>
          <w:footerReference w:type="default" r:id="rId48"/>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APPLICATION / REDACTED CAPTURE</w:t>
      </w:r>
    </w:p>
    <w:p>
      <w:pPr>
        <w:spacing w:after="140"/>
      </w:pPr>
      <w:r>
        <w:rPr>
          <w:rFonts w:ascii="DejaVu Serif" w:cs="DejaVu Serif" w:eastAsia="DejaVu Serif" w:hAnsi="DejaVu Serif"/>
          <w:b/>
          <w:bCs/>
          <w:color w:val="182824"/>
          <w:sz w:val="30"/>
          <w:szCs w:val="30"/>
        </w:rPr>
        <w:t xml:space="preserve">Connect usage to accountability</w:t>
      </w:r>
    </w:p>
    <w:p>
      <w:pPr>
        <w:spacing w:after="100"/>
      </w:pPr>
      <w:r>
        <w:drawing>
          <wp:inline distT="0" distB="0" distL="0" distR="0">
            <wp:extent cx="8858250" cy="5314950"/>
            <wp:effectExtent t="0" r="0" b="0" l="0"/>
            <wp:docPr id="1" name="Connect usage to accountability" descr="Cost-center reporting from the captured live snapshot. Private names, subscription identifiers, quantities, and financial amounts are redacted." title="Connect usage to accoun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8858250" cy="5314950"/>
                    </a:xfrm>
                    <a:prstGeom prst="rect">
                      <a:avLst/>
                    </a:prstGeom>
                  </pic:spPr>
                </pic:pic>
              </a:graphicData>
            </a:graphic>
          </wp:inline>
        </w:drawing>
      </w:r>
    </w:p>
    <w:p>
      <w:pPr>
        <w:spacing w:after="120"/>
      </w:pPr>
      <w:r>
        <w:rPr>
          <w:rFonts w:ascii="DejaVu Sans" w:cs="DejaVu Sans" w:eastAsia="DejaVu Sans" w:hAnsi="DejaVu Sans"/>
          <w:b/>
          <w:bCs/>
          <w:color w:val="31483F"/>
          <w:sz w:val="19"/>
          <w:szCs w:val="19"/>
        </w:rPr>
        <w:t xml:space="preserve">Connect consumption to accountability and showback.</w:t>
      </w:r>
    </w:p>
    <w:p>
      <w:pPr>
        <w:spacing w:after="120"/>
      </w:pPr>
      <w:r>
        <w:rPr>
          <w:rFonts w:ascii="DejaVu Sans" w:cs="DejaVu Sans" w:eastAsia="DejaVu Sans" w:hAnsi="DejaVu Sans"/>
          <w:color w:val="52635E"/>
          <w:sz w:val="17"/>
          <w:szCs w:val="17"/>
        </w:rPr>
        <w:t xml:space="preserve">Cost-center reporting from the captured live snapshot. Private names, subscription identifiers, quantities, and financial amounts are redacted.</w:t>
      </w:r>
    </w:p>
    <w:p>
      <w:pPr>
        <w:sectPr>
          <w:headerReference w:type="default" r:id="rId49"/>
          <w:footerReference w:type="default" r:id="rId50"/>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APPLICATION / REDACTED CAPTURE</w:t>
      </w:r>
    </w:p>
    <w:p>
      <w:pPr>
        <w:spacing w:after="140"/>
      </w:pPr>
      <w:r>
        <w:rPr>
          <w:rFonts w:ascii="DejaVu Serif" w:cs="DejaVu Serif" w:eastAsia="DejaVu Serif" w:hAnsi="DejaVu Serif"/>
          <w:b/>
          <w:bCs/>
          <w:color w:val="182824"/>
          <w:sz w:val="30"/>
          <w:szCs w:val="30"/>
        </w:rPr>
        <w:t xml:space="preserve">Inspect allocation and chargeback context</w:t>
      </w:r>
    </w:p>
    <w:p>
      <w:pPr>
        <w:spacing w:after="100"/>
      </w:pPr>
      <w:r>
        <w:drawing>
          <wp:inline distT="0" distB="0" distL="0" distR="0">
            <wp:extent cx="8858250" cy="5314950"/>
            <wp:effectExtent t="0" r="0" b="0" l="0"/>
            <wp:docPr id="1" name="Inspect allocation and chargeback context" descr="Reporting detail. Default allocations are planning suggestions, not evidence of an approved allocation plan." title="Inspect allocation and chargeback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8858250" cy="5314950"/>
                    </a:xfrm>
                    <a:prstGeom prst="rect">
                      <a:avLst/>
                    </a:prstGeom>
                  </pic:spPr>
                </pic:pic>
              </a:graphicData>
            </a:graphic>
          </wp:inline>
        </w:drawing>
      </w:r>
    </w:p>
    <w:p>
      <w:pPr>
        <w:spacing w:after="120"/>
      </w:pPr>
      <w:r>
        <w:rPr>
          <w:rFonts w:ascii="DejaVu Sans" w:cs="DejaVu Sans" w:eastAsia="DejaVu Sans" w:hAnsi="DejaVu Sans"/>
          <w:b/>
          <w:bCs/>
          <w:color w:val="31483F"/>
          <w:sz w:val="19"/>
          <w:szCs w:val="19"/>
        </w:rPr>
        <w:t xml:space="preserve">Discuss allocation choices separately from observed consumption.</w:t>
      </w:r>
    </w:p>
    <w:p>
      <w:pPr>
        <w:spacing w:after="120"/>
      </w:pPr>
      <w:r>
        <w:rPr>
          <w:rFonts w:ascii="DejaVu Sans" w:cs="DejaVu Sans" w:eastAsia="DejaVu Sans" w:hAnsi="DejaVu Sans"/>
          <w:color w:val="52635E"/>
          <w:sz w:val="17"/>
          <w:szCs w:val="17"/>
        </w:rPr>
        <w:t xml:space="preserve">Reporting detail. Default allocations are planning suggestions, not evidence of an approved allocation plan.</w:t>
      </w:r>
    </w:p>
    <w:p>
      <w:pPr>
        <w:sectPr>
          <w:headerReference w:type="default" r:id="rId51"/>
          <w:footerReference w:type="default" r:id="rId52"/>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APPLICATION / REDACTED CAPTURE</w:t>
      </w:r>
    </w:p>
    <w:p>
      <w:pPr>
        <w:spacing w:after="140"/>
      </w:pPr>
      <w:r>
        <w:rPr>
          <w:rFonts w:ascii="DejaVu Serif" w:cs="DejaVu Serif" w:eastAsia="DejaVu Serif" w:hAnsi="DejaVu Serif"/>
          <w:b/>
          <w:bCs/>
          <w:color w:val="182824"/>
          <w:sz w:val="30"/>
          <w:szCs w:val="30"/>
        </w:rPr>
        <w:t xml:space="preserve">Prepare the executive narrative</w:t>
      </w:r>
    </w:p>
    <w:p>
      <w:pPr>
        <w:spacing w:after="100"/>
      </w:pPr>
      <w:r>
        <w:drawing>
          <wp:inline distT="0" distB="0" distL="0" distR="0">
            <wp:extent cx="8858250" cy="5314950"/>
            <wp:effectExtent t="0" r="0" b="0" l="0"/>
            <wp:docPr id="1" name="Prepare the executive narrative" descr="Executive preview based on the captured assessment and planning state. PDF generation and saved-report retrieval are not triggered during this showcase." title="Prepare the executive nar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8858250" cy="5314950"/>
                    </a:xfrm>
                    <a:prstGeom prst="rect">
                      <a:avLst/>
                    </a:prstGeom>
                  </pic:spPr>
                </pic:pic>
              </a:graphicData>
            </a:graphic>
          </wp:inline>
        </w:drawing>
      </w:r>
    </w:p>
    <w:p>
      <w:pPr>
        <w:spacing w:after="120"/>
      </w:pPr>
      <w:r>
        <w:rPr>
          <w:rFonts w:ascii="DejaVu Sans" w:cs="DejaVu Sans" w:eastAsia="DejaVu Sans" w:hAnsi="DejaVu Sans"/>
          <w:b/>
          <w:bCs/>
          <w:color w:val="31483F"/>
          <w:sz w:val="19"/>
          <w:szCs w:val="19"/>
        </w:rPr>
        <w:t xml:space="preserve">Prepare a shared narrative for an executive review.</w:t>
      </w:r>
    </w:p>
    <w:p>
      <w:pPr>
        <w:spacing w:after="120"/>
      </w:pPr>
      <w:r>
        <w:rPr>
          <w:rFonts w:ascii="DejaVu Sans" w:cs="DejaVu Sans" w:eastAsia="DejaVu Sans" w:hAnsi="DejaVu Sans"/>
          <w:color w:val="52635E"/>
          <w:sz w:val="17"/>
          <w:szCs w:val="17"/>
        </w:rPr>
        <w:t xml:space="preserve">Executive preview based on the captured assessment and planning state. PDF generation and saved-report retrieval are not triggered during this showcase.</w:t>
      </w:r>
    </w:p>
    <w:p>
      <w:pPr>
        <w:sectPr>
          <w:headerReference w:type="default" r:id="rId53"/>
          <w:footerReference w:type="default" r:id="rId54"/>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APPLICATION / REDACTED CAPTURE</w:t>
      </w:r>
    </w:p>
    <w:p>
      <w:pPr>
        <w:spacing w:after="140"/>
      </w:pPr>
      <w:r>
        <w:rPr>
          <w:rFonts w:ascii="DejaVu Serif" w:cs="DejaVu Serif" w:eastAsia="DejaVu Serif" w:hAnsi="DejaVu Serif"/>
          <w:b/>
          <w:bCs/>
          <w:color w:val="182824"/>
          <w:sz w:val="30"/>
          <w:szCs w:val="30"/>
        </w:rPr>
        <w:t xml:space="preserve">Keep evidence and decisions visible</w:t>
      </w:r>
    </w:p>
    <w:p>
      <w:pPr>
        <w:spacing w:after="100"/>
      </w:pPr>
      <w:r>
        <w:drawing>
          <wp:inline distT="0" distB="0" distL="0" distR="0">
            <wp:extent cx="8858250" cy="5314950"/>
            <wp:effectExtent t="0" r="0" b="0" l="0"/>
            <wp:docPr id="1" name="Keep evidence and decisions visible" descr="Active Register with the live account's existing access. Empty or unavailable states are retained; no records, approvals, or evidence have been fabricated." title="Keep evidence and decision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8858250" cy="5314950"/>
                    </a:xfrm>
                    <a:prstGeom prst="rect">
                      <a:avLst/>
                    </a:prstGeom>
                  </pic:spPr>
                </pic:pic>
              </a:graphicData>
            </a:graphic>
          </wp:inline>
        </w:drawing>
      </w:r>
    </w:p>
    <w:p>
      <w:pPr>
        <w:spacing w:after="120"/>
      </w:pPr>
      <w:r>
        <w:rPr>
          <w:rFonts w:ascii="DejaVu Sans" w:cs="DejaVu Sans" w:eastAsia="DejaVu Sans" w:hAnsi="DejaVu Sans"/>
          <w:b/>
          <w:bCs/>
          <w:color w:val="31483F"/>
          <w:sz w:val="19"/>
          <w:szCs w:val="19"/>
        </w:rPr>
        <w:t xml:space="preserve">Keep the access boundary visible even when the evidence register is empty.</w:t>
      </w:r>
    </w:p>
    <w:p>
      <w:pPr>
        <w:spacing w:after="120"/>
      </w:pPr>
      <w:r>
        <w:rPr>
          <w:rFonts w:ascii="DejaVu Sans" w:cs="DejaVu Sans" w:eastAsia="DejaVu Sans" w:hAnsi="DejaVu Sans"/>
          <w:color w:val="52635E"/>
          <w:sz w:val="17"/>
          <w:szCs w:val="17"/>
        </w:rPr>
        <w:t xml:space="preserve">Active Register with the live account's existing access. Empty or unavailable states are retained; no records, approvals, or evidence have been fabricated.</w:t>
      </w:r>
    </w:p>
    <w:p>
      <w:pPr>
        <w:sectPr>
          <w:headerReference w:type="default" r:id="rId55"/>
          <w:footerReference w:type="default" r:id="rId56"/>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CONCEPT / PRODUCT CONTEXT</w:t>
      </w:r>
    </w:p>
    <w:p>
      <w:pPr>
        <w:spacing w:after="140"/>
      </w:pPr>
      <w:r>
        <w:rPr>
          <w:rFonts w:ascii="DejaVu Serif" w:cs="DejaVu Serif" w:eastAsia="DejaVu Serif" w:hAnsi="DejaVu Serif"/>
          <w:b/>
          <w:bCs/>
          <w:color w:val="182824"/>
          <w:sz w:val="30"/>
          <w:szCs w:val="30"/>
        </w:rPr>
        <w:t xml:space="preserve">Durable state belongs in PostgreSQL.</w:t>
      </w:r>
    </w:p>
    <w:p>
      <w:pPr>
        <w:spacing w:after="100"/>
      </w:pPr>
      <w:r>
        <w:drawing>
          <wp:inline distT="0" distB="0" distL="0" distR="0">
            <wp:extent cx="8858250" cy="4982766"/>
            <wp:effectExtent t="0" r="0" b="0" l="0"/>
            <wp:docPr id="1" name="Durable state belongs in PostgreSQL." descr="Six table families support the application beyond a browser session." title="Durable state belongs in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8858250" cy="4982766"/>
                    </a:xfrm>
                    <a:prstGeom prst="rect">
                      <a:avLst/>
                    </a:prstGeom>
                  </pic:spPr>
                </pic:pic>
              </a:graphicData>
            </a:graphic>
          </wp:inline>
        </w:drawing>
      </w:r>
    </w:p>
    <w:p>
      <w:pPr>
        <w:spacing w:after="120"/>
      </w:pPr>
      <w:r>
        <w:rPr>
          <w:rFonts w:ascii="DejaVu Sans" w:cs="DejaVu Sans" w:eastAsia="DejaVu Sans" w:hAnsi="DejaVu Sans"/>
          <w:color w:val="52635E"/>
          <w:sz w:val="17"/>
          <w:szCs w:val="17"/>
        </w:rPr>
        <w:t xml:space="preserve">Six table families support the application beyond a browser session.</w:t>
      </w:r>
    </w:p>
    <w:p>
      <w:pPr>
        <w:sectPr>
          <w:headerReference w:type="default" r:id="rId57"/>
          <w:footerReference w:type="default" r:id="rId58"/>
          <w:pgSz w:w="11906" w:h="16838" w:orient="landscape"/>
          <w:pgMar w:top="600" w:right="650" w:bottom="600" w:left="650" w:header="230" w:footer="260" w:gutter="0"/>
          <w:pgNumType/>
          <w:docGrid w:linePitch="360"/>
        </w:sectPr>
      </w:pPr>
    </w:p>
    <w:p>
      <w:pPr>
        <w:spacing w:after="120"/>
      </w:pPr>
      <w:r>
        <w:rPr>
          <w:rFonts w:ascii="DejaVu Sans" w:cs="DejaVu Sans" w:eastAsia="DejaVu Sans" w:hAnsi="DejaVu Sans"/>
          <w:b/>
          <w:bCs/>
          <w:color w:val="087F72"/>
          <w:sz w:val="16"/>
          <w:szCs w:val="16"/>
        </w:rPr>
        <w:t xml:space="preserve">METHODOLOGY / LIMITATIONS</w:t>
      </w:r>
    </w:p>
    <w:p>
      <w:pPr>
        <w:spacing w:after="140"/>
      </w:pPr>
      <w:r>
        <w:rPr>
          <w:rFonts w:ascii="DejaVu Serif" w:cs="DejaVu Serif" w:eastAsia="DejaVu Serif" w:hAnsi="DejaVu Serif"/>
          <w:b/>
          <w:bCs/>
          <w:color w:val="182824"/>
          <w:sz w:val="30"/>
          <w:szCs w:val="30"/>
        </w:rPr>
        <w:t xml:space="preserve">Capture scope and responsible use</w:t>
      </w:r>
    </w:p>
    <w:p>
      <w:pPr>
        <w:spacing w:after="120"/>
      </w:pPr>
      <w:r>
        <w:rPr>
          <w:rFonts w:ascii="DejaVu Sans" w:cs="DejaVu Sans" w:eastAsia="DejaVu Sans" w:hAnsi="DejaVu Sans"/>
          <w:color w:val="31483F"/>
          <w:sz w:val="20"/>
          <w:szCs w:val="20"/>
        </w:rPr>
        <w:t xml:space="preserve">Coverage: all five primary pages, all five Assessment governance tabs, all three Simulator tabs, and all three Reports tabs. Nineteen screenshots include the two-dimensional flow and a presentation-only scenario snapshot. This is a selected-viewport tour, not a screenshot of every row, scroll position, filter, modal, or role-specific editor.</w:t>
      </w:r>
    </w:p>
    <w:p>
      <w:pPr>
        <w:spacing w:after="120"/>
      </w:pPr>
      <w:r>
        <w:rPr>
          <w:rFonts w:ascii="DejaVu Sans" w:cs="DejaVu Sans" w:eastAsia="DejaVu Sans" w:hAnsi="DejaVu Sans"/>
          <w:color w:val="31483F"/>
          <w:sz w:val="20"/>
          <w:szCs w:val="20"/>
        </w:rPr>
        <w:t xml:space="preserve">Source: an authorized, authenticated live assessment and current planning inputs were pseudonymized before transfer into a separate browser running the unchanged application. API responses were replayed locally. Workflow changes stayed in that browser; all other API operations and external network requests were blocked.</w:t>
      </w:r>
    </w:p>
    <w:p>
      <w:pPr>
        <w:spacing w:after="120"/>
      </w:pPr>
      <w:r>
        <w:rPr>
          <w:rFonts w:ascii="DejaVu Sans" w:cs="DejaVu Sans" w:eastAsia="DejaVu Sans" w:hAnsi="DejaVu Sans"/>
          <w:color w:val="31483F"/>
          <w:sz w:val="20"/>
          <w:szCs w:val="20"/>
        </w:rPr>
        <w:t xml:space="preserve">Redaction: account, organization, team, user, and other private strings were replaced or masked. Numeric text, amounts, input fields, and canvases were covered before PNG files were saved. Chart geometry, categorical states, and visible row presence may still convey qualitative information. This is not a guarantee of complete anonymization; review audience suitability before distribution.</w:t>
      </w:r>
    </w:p>
    <w:p>
      <w:pPr>
        <w:spacing w:after="120"/>
      </w:pPr>
      <w:r>
        <w:rPr>
          <w:rFonts w:ascii="DejaVu Sans" w:cs="DejaVu Sans" w:eastAsia="DejaVu Sans" w:hAnsi="DejaVu Sans"/>
          <w:color w:val="31483F"/>
          <w:sz w:val="20"/>
          <w:szCs w:val="20"/>
        </w:rPr>
        <w:t xml:space="preserve">Interpretation: simulator and recommendation views are derived planning output. No provider approvals, executed control changes, savings outcomes, or certifications are asserted. The daily trend shown by the UI must not be treated as independently verified historical evidence in this showcase.</w:t>
      </w:r>
    </w:p>
    <w:p>
      <w:pPr>
        <w:spacing w:after="120"/>
      </w:pPr>
      <w:r>
        <w:rPr>
          <w:rFonts w:ascii="DejaVu Sans" w:cs="DejaVu Sans" w:eastAsia="DejaVu Sans" w:hAnsi="DejaVu Sans"/>
          <w:color w:val="31483F"/>
          <w:sz w:val="20"/>
          <w:szCs w:val="20"/>
        </w:rPr>
        <w:t xml:space="preserve">Boundaries: the 3D canvas is not showcased because its numeric labels are not covered by DOM text redaction; the readable 2D mode is included. The live register was empty with reader access, so populated record editors and revision histories are not represented. Saved-report history was not replayed, and no PDF generation or restore action was executed.</w:t>
      </w:r>
    </w:p>
    <w:p>
      <w:pPr>
        <w:spacing w:after="120"/>
      </w:pPr>
      <w:r>
        <w:rPr>
          <w:rFonts w:ascii="DejaVu Sans" w:cs="DejaVu Sans" w:eastAsia="DejaVu Sans" w:hAnsi="DejaVu Sans"/>
          <w:color w:val="31483F"/>
          <w:sz w:val="20"/>
          <w:szCs w:val="20"/>
        </w:rPr>
        <w:t xml:space="preserve">Validation: the capture completed without browser application errors. Images are embedded in the Word package, with no live JSON, credentials, or external image links included. The companion HTML provides a visual review of the same content; Word pagination may differ by installed fonts and version. This document is not completion evidence for the earlier governance-reference acceptance audit.</w:t>
      </w:r>
    </w:p>
    <w:sectPr>
      <w:headerReference w:type="default" r:id="rId59"/>
      <w:footerReference w:type="default" r:id="rId60"/>
      <w:pgSz w:w="11906" w:h="16838" w:orient="landscape"/>
      <w:pgMar w:top="600" w:right="650" w:bottom="600" w:left="650" w:header="23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1847B"/>
        <w:sz w:val="14"/>
        <w:szCs w:val="14"/>
      </w:rPr>
      <w:t xml:space="preserve">REDACTED PRESENTATION  |  </w:t>
    </w:r>
    <w:r>
      <w:rPr>
        <w:color w:val="71847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DejaVu Sans" w:cs="DejaVu Sans" w:eastAsia="DejaVu Sans" w:hAnsi="DejaVu Sans"/>
        <w:color w:val="71847B"/>
        <w:sz w:val="14"/>
        <w:szCs w:val="14"/>
      </w:rPr>
      <w:t xml:space="preserve">GHCP AI CREDITS SIMULATOR  |  PRODUCT SHOWCASE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ejaVu Sans" w:cs="DejaVu Sans" w:eastAsia="DejaVu Sans" w:hAnsi="DejaVu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footer" Target="footer27.xml"/><Relationship Id="rId61" Type="http://schemas.openxmlformats.org/officeDocument/2006/relationships/image" Target="media/6a0b0a95594d22f7b256386f67bedc6ffc6d9f0b.png"/><Relationship Id="rId62" Type="http://schemas.openxmlformats.org/officeDocument/2006/relationships/image" Target="media/c6b2f9dc18ba8540396f1a0c2e5b572a82587871.png"/><Relationship Id="rId63" Type="http://schemas.openxmlformats.org/officeDocument/2006/relationships/image" Target="media/bb82e85f6c2ca01f478057eb14b10d704f5e068e.png"/><Relationship Id="rId64" Type="http://schemas.openxmlformats.org/officeDocument/2006/relationships/image" Target="media/b2e36f79b51c2738c33ab35eff994504c0d756db.png"/><Relationship Id="rId65" Type="http://schemas.openxmlformats.org/officeDocument/2006/relationships/image" Target="media/bb67d1ab5fee674fb7238fbb53c773c5ecb63882.png"/><Relationship Id="rId66" Type="http://schemas.openxmlformats.org/officeDocument/2006/relationships/image" Target="media/ebc3ea7fb87af85cb9fcd33dfae29a2eb033207a.png"/><Relationship Id="rId67" Type="http://schemas.openxmlformats.org/officeDocument/2006/relationships/image" Target="media/7edbe586999c9959952662fd6cac8d052ca30dda.png"/><Relationship Id="rId68" Type="http://schemas.openxmlformats.org/officeDocument/2006/relationships/image" Target="media/21931927e4368ab453c32e75a469837b69cfb55b.png"/><Relationship Id="rId69" Type="http://schemas.openxmlformats.org/officeDocument/2006/relationships/image" Target="media/dea35d42afebcf90598529b93ff46268d7c520e5.png"/><Relationship Id="rId70" Type="http://schemas.openxmlformats.org/officeDocument/2006/relationships/image" Target="media/474e50d3b4a0ea05cbc7589da25e442cd43c8ab1.png"/><Relationship Id="rId71" Type="http://schemas.openxmlformats.org/officeDocument/2006/relationships/image" Target="media/7d7a48d56eee160063ca547641039b1062b1def3.png"/><Relationship Id="rId72" Type="http://schemas.openxmlformats.org/officeDocument/2006/relationships/image" Target="media/e98d2cc356febfb98f3f04a6bf22cd0a71b47c4a.png"/><Relationship Id="rId73" Type="http://schemas.openxmlformats.org/officeDocument/2006/relationships/image" Target="media/bedbd394ce988905eeefaa25906663ae7b13ad36.png"/><Relationship Id="rId74" Type="http://schemas.openxmlformats.org/officeDocument/2006/relationships/image" Target="media/f3baea930402565ea5b82721a58f47f061a97974.png"/><Relationship Id="rId75" Type="http://schemas.openxmlformats.org/officeDocument/2006/relationships/image" Target="media/9463ea3c75fb029348ae3176f05213a75e0cfc35.png"/><Relationship Id="rId76" Type="http://schemas.openxmlformats.org/officeDocument/2006/relationships/image" Target="media/26c2196045ff2e0169c891c7731b94dd38d303c1.png"/><Relationship Id="rId77" Type="http://schemas.openxmlformats.org/officeDocument/2006/relationships/image" Target="media/d2b95824e981e00ed64052de53d985e2e647f89d.png"/><Relationship Id="rId78" Type="http://schemas.openxmlformats.org/officeDocument/2006/relationships/image" Target="media/91d7783d7a5594facf22cdcc890924604b8574cc.png"/><Relationship Id="rId79" Type="http://schemas.openxmlformats.org/officeDocument/2006/relationships/image" Target="media/13cf37eeabf842f7b9ea1c539a905da1a9c3f311.png"/><Relationship Id="rId80" Type="http://schemas.openxmlformats.org/officeDocument/2006/relationships/image" Target="media/453ceb098a59c9e9c91bc024e54672a7a9b3c8aa.png"/><Relationship Id="rId81" Type="http://schemas.openxmlformats.org/officeDocument/2006/relationships/image" Target="media/9a289e7a32f5036ab392299cca84861ff9b98409.png"/><Relationship Id="rId82" Type="http://schemas.openxmlformats.org/officeDocument/2006/relationships/image" Target="media/80eb87e24072c62fe934631518f57d381dbeb137.png"/><Relationship Id="rId83" Type="http://schemas.openxmlformats.org/officeDocument/2006/relationships/image" Target="media/d5d52db144cbf4881d1ea5516a46ac2e6fcac780.png"/><Relationship Id="rId84" Type="http://schemas.openxmlformats.org/officeDocument/2006/relationships/image" Target="media/584f92c6bd97d27b2cde6846a2f2ec80ab54b89b.png"/><Relationship Id="rId8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GHCP AI Credits Simulator - Application Showcase</dc:title>
  <dc:subject>Redacted live-assessment walkthrough and conceptual infographics</dc:subject>
  <dc:creator>GHCP AI Credits Simulator</dc:creator>
  <dc:description>A presentation of application surfaces, with explicit separation of observed evidence and modeled outputs.</dc:description>
  <cp:lastModifiedBy>Un-named</cp:lastModifiedBy>
  <cp:revision>1</cp:revision>
  <dcterms:created xsi:type="dcterms:W3CDTF">2026-09-10T13:59:10.322Z</dcterms:created>
  <dcterms:modified xsi:type="dcterms:W3CDTF">2026-09-10T13:59:10.322Z</dcterms:modified>
</cp:coreProperties>
</file>

<file path=docProps/custom.xml><?xml version="1.0" encoding="utf-8"?>
<Properties xmlns="http://schemas.openxmlformats.org/officeDocument/2006/custom-properties" xmlns:vt="http://schemas.openxmlformats.org/officeDocument/2006/docPropsVTypes"/>
</file>