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38" w:type="dxa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277"/>
        <w:gridCol w:w="4180"/>
        <w:gridCol w:w="1225"/>
      </w:tblGrid>
      <w:tr w:rsidR="00040F0E" w:rsidTr="0081486E">
        <w:tc>
          <w:tcPr>
            <w:tcW w:w="50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040F0E" w:rsidRDefault="00BA71E4">
            <w:pPr>
              <w:pStyle w:val="Standard"/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bookmarkStart w:id="0" w:name="_GoBack" w:colFirst="0" w:colLast="0"/>
            <w:r>
              <w:rPr>
                <w:rFonts w:ascii="Calibri" w:hAnsi="Calibri" w:cs="Calibri"/>
                <w:b/>
                <w:bCs/>
                <w:lang w:val="pt-BR"/>
              </w:rPr>
              <w:t>Elaboração</w:t>
            </w:r>
          </w:p>
        </w:tc>
        <w:tc>
          <w:tcPr>
            <w:tcW w:w="5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040F0E" w:rsidRDefault="00BA71E4">
            <w:pPr>
              <w:pStyle w:val="Standard"/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>
              <w:rPr>
                <w:rFonts w:ascii="Calibri" w:hAnsi="Calibri" w:cs="Calibri"/>
                <w:b/>
                <w:bCs/>
                <w:lang w:val="pt-BR"/>
              </w:rPr>
              <w:t>Aprovação</w:t>
            </w:r>
          </w:p>
        </w:tc>
      </w:tr>
      <w:tr w:rsidR="0081486E" w:rsidTr="00467A25">
        <w:tc>
          <w:tcPr>
            <w:tcW w:w="3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1486E" w:rsidRDefault="0081486E">
            <w:pPr>
              <w:pStyle w:val="Standard"/>
              <w:jc w:val="both"/>
              <w:rPr>
                <w:rFonts w:ascii="Calibri" w:hAnsi="Calibri" w:cs="Calibri"/>
                <w:b/>
                <w:bCs/>
                <w:lang w:val="pt-BR"/>
              </w:rPr>
            </w:pPr>
            <w:r>
              <w:rPr>
                <w:rFonts w:ascii="Calibri" w:hAnsi="Calibri" w:cs="Calibri"/>
                <w:b/>
                <w:bCs/>
                <w:lang w:val="pt-BR"/>
              </w:rPr>
              <w:t>Nome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1486E" w:rsidRDefault="0081486E">
            <w:pPr>
              <w:pStyle w:val="Standard"/>
              <w:jc w:val="both"/>
              <w:rPr>
                <w:rFonts w:ascii="Calibri" w:hAnsi="Calibri" w:cs="Calibri"/>
                <w:b/>
                <w:bCs/>
                <w:lang w:val="pt-BR"/>
              </w:rPr>
            </w:pPr>
            <w:r>
              <w:rPr>
                <w:rFonts w:ascii="Calibri" w:hAnsi="Calibri" w:cs="Calibri"/>
                <w:b/>
                <w:bCs/>
                <w:lang w:val="pt-BR"/>
              </w:rPr>
              <w:t>Data</w:t>
            </w:r>
          </w:p>
        </w:tc>
        <w:tc>
          <w:tcPr>
            <w:tcW w:w="4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1486E" w:rsidRDefault="0081486E">
            <w:pPr>
              <w:pStyle w:val="Standard"/>
              <w:jc w:val="both"/>
              <w:rPr>
                <w:rFonts w:ascii="Calibri" w:hAnsi="Calibri" w:cs="Calibri"/>
                <w:b/>
                <w:bCs/>
                <w:lang w:val="pt-BR"/>
              </w:rPr>
            </w:pPr>
            <w:r>
              <w:rPr>
                <w:rFonts w:ascii="Calibri" w:hAnsi="Calibri" w:cs="Calibri"/>
                <w:b/>
                <w:bCs/>
                <w:lang w:val="pt-BR"/>
              </w:rPr>
              <w:t>Nome</w:t>
            </w:r>
          </w:p>
        </w:tc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1486E" w:rsidRDefault="0081486E">
            <w:pPr>
              <w:pStyle w:val="Standard"/>
              <w:jc w:val="both"/>
              <w:rPr>
                <w:rFonts w:ascii="Calibri" w:hAnsi="Calibri" w:cs="Calibri"/>
                <w:b/>
                <w:bCs/>
                <w:lang w:val="pt-BR"/>
              </w:rPr>
            </w:pPr>
            <w:r>
              <w:rPr>
                <w:rFonts w:ascii="Calibri" w:hAnsi="Calibri" w:cs="Calibri"/>
                <w:b/>
                <w:bCs/>
                <w:lang w:val="pt-BR"/>
              </w:rPr>
              <w:t>Data</w:t>
            </w:r>
          </w:p>
        </w:tc>
      </w:tr>
      <w:tr w:rsidR="0081486E" w:rsidTr="00A02F39">
        <w:tc>
          <w:tcPr>
            <w:tcW w:w="3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1486E" w:rsidRDefault="0081486E">
            <w:pPr>
              <w:pStyle w:val="Standard"/>
              <w:snapToGrid w:val="0"/>
              <w:jc w:val="both"/>
              <w:rPr>
                <w:rFonts w:ascii="Calibri" w:hAnsi="Calibri" w:cs="Calibri"/>
                <w:sz w:val="18"/>
                <w:lang w:val="pt-BR"/>
              </w:rPr>
            </w:pPr>
            <w:r>
              <w:rPr>
                <w:rFonts w:ascii="Calibri" w:hAnsi="Calibri" w:cs="Calibri"/>
                <w:bCs/>
                <w:sz w:val="18"/>
                <w:lang w:val="pt-BR"/>
              </w:rPr>
              <w:t xml:space="preserve">Silmara </w:t>
            </w:r>
            <w:proofErr w:type="spellStart"/>
            <w:r>
              <w:rPr>
                <w:rFonts w:ascii="Calibri" w:hAnsi="Calibri" w:cs="Calibri"/>
                <w:bCs/>
                <w:sz w:val="18"/>
                <w:lang w:val="pt-BR"/>
              </w:rPr>
              <w:t>Candiani</w:t>
            </w:r>
            <w:proofErr w:type="spellEnd"/>
            <w:r>
              <w:rPr>
                <w:rFonts w:ascii="Calibri" w:hAnsi="Calibri" w:cs="Calibri"/>
                <w:bCs/>
                <w:sz w:val="18"/>
                <w:lang w:val="pt-BR"/>
              </w:rPr>
              <w:t xml:space="preserve"> Lemes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1486E" w:rsidRDefault="0081486E">
            <w:pPr>
              <w:pStyle w:val="Standard"/>
              <w:snapToGrid w:val="0"/>
              <w:jc w:val="both"/>
              <w:rPr>
                <w:rFonts w:ascii="Calibri" w:hAnsi="Calibri" w:cs="Calibri"/>
                <w:sz w:val="18"/>
                <w:lang w:val="pt-BR"/>
              </w:rPr>
            </w:pPr>
            <w:r>
              <w:rPr>
                <w:rFonts w:ascii="Calibri" w:hAnsi="Calibri" w:cs="Calibri"/>
                <w:sz w:val="18"/>
                <w:lang w:val="pt-BR"/>
              </w:rPr>
              <w:t>11/07/2016</w:t>
            </w:r>
          </w:p>
        </w:tc>
        <w:tc>
          <w:tcPr>
            <w:tcW w:w="4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1486E" w:rsidRDefault="0081486E">
            <w:pPr>
              <w:pStyle w:val="Standard"/>
              <w:snapToGrid w:val="0"/>
              <w:jc w:val="both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sz w:val="18"/>
                <w:lang w:val="pt-BR"/>
              </w:rPr>
              <w:t xml:space="preserve">Cristiane Moraes </w:t>
            </w:r>
            <w:proofErr w:type="spellStart"/>
            <w:r>
              <w:rPr>
                <w:rFonts w:ascii="Calibri" w:hAnsi="Calibri" w:cs="Calibri"/>
                <w:sz w:val="18"/>
                <w:lang w:val="pt-BR"/>
              </w:rPr>
              <w:t>Tuvani</w:t>
            </w:r>
            <w:proofErr w:type="spellEnd"/>
          </w:p>
        </w:tc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1486E" w:rsidRDefault="0081486E">
            <w:pPr>
              <w:pStyle w:val="Standard"/>
              <w:snapToGrid w:val="0"/>
              <w:jc w:val="both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11/07/2016</w:t>
            </w:r>
          </w:p>
        </w:tc>
      </w:tr>
      <w:bookmarkEnd w:id="0"/>
    </w:tbl>
    <w:p w:rsidR="0081486E" w:rsidRDefault="0081486E" w:rsidP="0081486E">
      <w:pPr>
        <w:pStyle w:val="Rodap"/>
        <w:jc w:val="both"/>
        <w:rPr>
          <w:rFonts w:ascii="Calibri" w:hAnsi="Calibri"/>
          <w:lang w:val="pt-BR"/>
        </w:rPr>
      </w:pPr>
    </w:p>
    <w:p w:rsidR="00040F0E" w:rsidRDefault="00BA71E4" w:rsidP="0081486E">
      <w:pPr>
        <w:pStyle w:val="Rodap"/>
        <w:numPr>
          <w:ilvl w:val="0"/>
          <w:numId w:val="11"/>
        </w:numPr>
        <w:jc w:val="both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Objetivo</w:t>
      </w:r>
    </w:p>
    <w:p w:rsidR="00040F0E" w:rsidRDefault="00BA71E4">
      <w:pPr>
        <w:pStyle w:val="Rodap"/>
        <w:ind w:firstLine="709"/>
        <w:jc w:val="both"/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O objetivo desta instrução de trabalho é orientar sobre os procedimentos de contas a pagar.</w:t>
      </w:r>
    </w:p>
    <w:p w:rsidR="00040F0E" w:rsidRDefault="00BA71E4" w:rsidP="0081486E">
      <w:pPr>
        <w:pStyle w:val="Rodap"/>
        <w:numPr>
          <w:ilvl w:val="0"/>
          <w:numId w:val="11"/>
        </w:numPr>
        <w:jc w:val="both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Referências</w:t>
      </w:r>
    </w:p>
    <w:p w:rsidR="0081486E" w:rsidRDefault="00BA71E4" w:rsidP="0081486E">
      <w:pPr>
        <w:pStyle w:val="Rodap"/>
        <w:ind w:firstLine="709"/>
        <w:jc w:val="both"/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Não aplicável</w:t>
      </w:r>
    </w:p>
    <w:p w:rsidR="00040F0E" w:rsidRPr="0081486E" w:rsidRDefault="00BA71E4" w:rsidP="0081486E">
      <w:pPr>
        <w:pStyle w:val="Rodap"/>
        <w:numPr>
          <w:ilvl w:val="0"/>
          <w:numId w:val="11"/>
        </w:numPr>
        <w:jc w:val="both"/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Definições</w:t>
      </w:r>
    </w:p>
    <w:p w:rsidR="00040F0E" w:rsidRDefault="00BA71E4">
      <w:pPr>
        <w:pStyle w:val="Rodap"/>
        <w:ind w:firstLine="709"/>
        <w:jc w:val="both"/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Não aplicável</w:t>
      </w:r>
    </w:p>
    <w:p w:rsidR="00040F0E" w:rsidRDefault="00040F0E">
      <w:pPr>
        <w:pStyle w:val="Rodap"/>
        <w:ind w:left="720"/>
        <w:jc w:val="both"/>
        <w:rPr>
          <w:rFonts w:ascii="Calibri" w:hAnsi="Calibri" w:cs="Calibri"/>
          <w:b/>
          <w:bCs/>
          <w:lang w:val="pt-BR"/>
        </w:rPr>
      </w:pPr>
    </w:p>
    <w:p w:rsidR="00040F0E" w:rsidRDefault="00BA71E4" w:rsidP="0081486E">
      <w:pPr>
        <w:pStyle w:val="Rodap"/>
        <w:numPr>
          <w:ilvl w:val="0"/>
          <w:numId w:val="13"/>
        </w:numPr>
        <w:jc w:val="both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Procedimentos e responsabilidades</w:t>
      </w:r>
    </w:p>
    <w:p w:rsidR="00040F0E" w:rsidRDefault="00BA71E4" w:rsidP="0081486E">
      <w:pPr>
        <w:pStyle w:val="Rodap"/>
        <w:numPr>
          <w:ilvl w:val="1"/>
          <w:numId w:val="14"/>
        </w:numPr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Conferência e lançamento das notas de entrada:</w:t>
      </w:r>
    </w:p>
    <w:p w:rsidR="00040F0E" w:rsidRDefault="00BA71E4">
      <w:pPr>
        <w:pStyle w:val="Rodap"/>
        <w:numPr>
          <w:ilvl w:val="0"/>
          <w:numId w:val="3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Recebimento das notas e documentos para pagamento vindas das unidades (via malote da empresa);</w:t>
      </w:r>
    </w:p>
    <w:p w:rsidR="00040F0E" w:rsidRDefault="00BA71E4">
      <w:pPr>
        <w:pStyle w:val="Rodap"/>
        <w:numPr>
          <w:ilvl w:val="0"/>
          <w:numId w:val="3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Após o recebimento das notas, conferir se estão lançadas e se os prazos de pagamentos estão corretos;</w:t>
      </w:r>
    </w:p>
    <w:p w:rsidR="00040F0E" w:rsidRDefault="00BA71E4">
      <w:pPr>
        <w:pStyle w:val="Rodap"/>
        <w:numPr>
          <w:ilvl w:val="0"/>
          <w:numId w:val="3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 xml:space="preserve">No sistema ERPJ acessar menu Movimentos – Compras – Consultas – Consultar por loja e data de cadastro – Selecionar a loja e o período – Consultar pelo número da nota fiscal; </w:t>
      </w:r>
    </w:p>
    <w:p w:rsidR="00040F0E" w:rsidRDefault="00BA71E4">
      <w:pPr>
        <w:pStyle w:val="Rodap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262245" cy="3762375"/>
            <wp:effectExtent l="0" t="0" r="0" b="0"/>
            <wp:docPr id="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0E" w:rsidRDefault="00040F0E">
      <w:pPr>
        <w:pStyle w:val="Rodap"/>
        <w:ind w:left="709"/>
        <w:rPr>
          <w:lang w:val="pt-BR"/>
        </w:rPr>
      </w:pPr>
    </w:p>
    <w:p w:rsidR="00040F0E" w:rsidRDefault="00BA71E4">
      <w:pPr>
        <w:pStyle w:val="Rodap"/>
        <w:numPr>
          <w:ilvl w:val="0"/>
          <w:numId w:val="3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Clicar duas vezes sobre a nota e na aba pagamentos verificar se os prazos batem com as notas fiscais;</w:t>
      </w:r>
    </w:p>
    <w:p w:rsidR="00040F0E" w:rsidRDefault="00BA71E4">
      <w:pPr>
        <w:pStyle w:val="Rodap"/>
        <w:numPr>
          <w:ilvl w:val="0"/>
          <w:numId w:val="3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Caso não estejam com o prazo, colocar o Modo de Pagamento (F8 para consultar) e em seguida Cadastrar Pagamentos. Feito isso a nota fiscal é enviada automaticamente ao sistema de Contas a Pagar.</w:t>
      </w:r>
    </w:p>
    <w:p w:rsidR="00040F0E" w:rsidRDefault="00040F0E">
      <w:pPr>
        <w:pStyle w:val="Rodap"/>
        <w:ind w:left="360"/>
        <w:rPr>
          <w:rFonts w:ascii="Calibri" w:hAnsi="Calibri" w:cs="Calibri"/>
          <w:bCs/>
          <w:lang w:val="pt-BR"/>
        </w:rPr>
      </w:pPr>
    </w:p>
    <w:p w:rsidR="00040F0E" w:rsidRDefault="00BA71E4" w:rsidP="0081486E">
      <w:pPr>
        <w:pStyle w:val="Rodap"/>
        <w:numPr>
          <w:ilvl w:val="1"/>
          <w:numId w:val="14"/>
        </w:numPr>
        <w:rPr>
          <w:b/>
          <w:lang w:val="pt-BR"/>
        </w:rPr>
      </w:pPr>
      <w:r>
        <w:rPr>
          <w:rFonts w:ascii="Calibri" w:hAnsi="Calibri" w:cs="Calibri"/>
          <w:b/>
          <w:bCs/>
          <w:lang w:val="pt-BR"/>
        </w:rPr>
        <w:t>Fazer protocolo das notas:</w:t>
      </w:r>
    </w:p>
    <w:p w:rsidR="00040F0E" w:rsidRDefault="00BA71E4">
      <w:pPr>
        <w:pStyle w:val="Rodap"/>
        <w:numPr>
          <w:ilvl w:val="0"/>
          <w:numId w:val="4"/>
        </w:numPr>
        <w:rPr>
          <w:lang w:val="pt-BR"/>
        </w:rPr>
      </w:pPr>
      <w:r>
        <w:rPr>
          <w:rFonts w:ascii="Calibri" w:hAnsi="Calibri" w:cs="Calibri"/>
          <w:bCs/>
          <w:lang w:val="pt-BR"/>
        </w:rPr>
        <w:t>Protocolar todas as notas conferidas, e enviar ao Departamento Fiscal. (Contabilidade – Protocolos – Cadastrar Protocolos);</w:t>
      </w:r>
    </w:p>
    <w:p w:rsidR="00040F0E" w:rsidRDefault="00BA71E4">
      <w:pPr>
        <w:pStyle w:val="Rodap"/>
        <w:ind w:left="2127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6985">
            <wp:extent cx="4412615" cy="3295650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0E" w:rsidRDefault="00040F0E">
      <w:pPr>
        <w:pStyle w:val="Rodap"/>
        <w:ind w:left="2127"/>
        <w:rPr>
          <w:rFonts w:ascii="Calibri" w:hAnsi="Calibri"/>
          <w:lang w:val="pt-BR"/>
        </w:rPr>
      </w:pPr>
    </w:p>
    <w:p w:rsidR="00040F0E" w:rsidRDefault="00BA71E4" w:rsidP="0081486E">
      <w:pPr>
        <w:pStyle w:val="Rodap"/>
        <w:numPr>
          <w:ilvl w:val="1"/>
          <w:numId w:val="14"/>
        </w:numPr>
        <w:rPr>
          <w:b/>
          <w:lang w:val="pt-BR"/>
        </w:rPr>
      </w:pPr>
      <w:r>
        <w:rPr>
          <w:rFonts w:ascii="Calibri" w:hAnsi="Calibri"/>
          <w:b/>
          <w:lang w:val="pt-BR"/>
        </w:rPr>
        <w:t>Pagamentos</w:t>
      </w:r>
      <w:r>
        <w:rPr>
          <w:rFonts w:ascii="Calibri" w:hAnsi="Calibri" w:cs="Calibri"/>
          <w:b/>
          <w:bCs/>
          <w:lang w:val="pt-BR"/>
        </w:rPr>
        <w:t xml:space="preserve"> aos Fornecedores:</w:t>
      </w:r>
    </w:p>
    <w:p w:rsidR="00040F0E" w:rsidRDefault="00BA71E4">
      <w:pPr>
        <w:pStyle w:val="Rodap"/>
        <w:numPr>
          <w:ilvl w:val="0"/>
          <w:numId w:val="4"/>
        </w:numPr>
        <w:rPr>
          <w:lang w:val="pt-BR"/>
        </w:rPr>
      </w:pPr>
      <w:r>
        <w:rPr>
          <w:rFonts w:ascii="Calibri" w:hAnsi="Calibri" w:cs="Calibri"/>
          <w:bCs/>
          <w:lang w:val="pt-BR"/>
        </w:rPr>
        <w:t xml:space="preserve">Diariamente tem que ser conferidos os boletos a serem pagos, incluindo os boletos no sistema (Financeiro – Contas a Pagar – Consultar todas em aberto (por período)) procura por fornecedores e confere se bate o valor e a nota fiscal, clicar duas vezes, e no campo linha editável ou código de barras, inserir o código dos boletos; </w:t>
      </w:r>
    </w:p>
    <w:p w:rsidR="00040F0E" w:rsidRDefault="00BA71E4">
      <w:pPr>
        <w:pStyle w:val="Rodap"/>
        <w:ind w:left="2127"/>
        <w:rPr>
          <w:lang w:val="pt-BR"/>
        </w:rPr>
      </w:pPr>
      <w:r>
        <w:rPr>
          <w:noProof/>
          <w:lang w:val="pt-BR" w:eastAsia="pt-BR"/>
        </w:rPr>
        <w:drawing>
          <wp:inline distT="0" distB="5715" distL="0" distR="0">
            <wp:extent cx="4597400" cy="3747135"/>
            <wp:effectExtent l="0" t="0" r="0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0E" w:rsidRDefault="00040F0E">
      <w:pPr>
        <w:pStyle w:val="Rodap"/>
        <w:ind w:left="2127"/>
        <w:rPr>
          <w:lang w:val="pt-BR"/>
        </w:rPr>
      </w:pPr>
    </w:p>
    <w:p w:rsidR="00040F0E" w:rsidRDefault="00BA71E4">
      <w:pPr>
        <w:pStyle w:val="Rodap"/>
        <w:numPr>
          <w:ilvl w:val="0"/>
          <w:numId w:val="4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Se faltar algum boleto, solicitar ao fornecedor;</w:t>
      </w:r>
    </w:p>
    <w:p w:rsidR="00040F0E" w:rsidRDefault="00BA71E4">
      <w:pPr>
        <w:pStyle w:val="Rodap"/>
        <w:numPr>
          <w:ilvl w:val="0"/>
          <w:numId w:val="4"/>
        </w:numPr>
        <w:jc w:val="both"/>
        <w:rPr>
          <w:lang w:val="pt-BR"/>
        </w:rPr>
      </w:pPr>
      <w:r>
        <w:rPr>
          <w:rFonts w:ascii="Calibri" w:hAnsi="Calibri" w:cs="Calibri"/>
          <w:bCs/>
          <w:lang w:val="pt-BR"/>
        </w:rPr>
        <w:t>Visualizar o relatório para conferência (Relatórios – Relatórios de Contas a Pagar – Relatório por períodos em aberto),</w:t>
      </w:r>
    </w:p>
    <w:p w:rsidR="00040F0E" w:rsidRDefault="00040F0E">
      <w:pPr>
        <w:pStyle w:val="Rodap"/>
        <w:ind w:left="1069"/>
        <w:jc w:val="both"/>
        <w:rPr>
          <w:lang w:val="pt-BR"/>
        </w:rPr>
      </w:pPr>
    </w:p>
    <w:p w:rsidR="00040F0E" w:rsidRDefault="00040F0E">
      <w:pPr>
        <w:pStyle w:val="Rodap"/>
        <w:ind w:left="1069"/>
        <w:jc w:val="both"/>
        <w:rPr>
          <w:lang w:val="pt-BR"/>
        </w:rPr>
      </w:pPr>
    </w:p>
    <w:p w:rsidR="00040F0E" w:rsidRDefault="00BA71E4" w:rsidP="0081486E">
      <w:pPr>
        <w:pStyle w:val="Rodap"/>
        <w:numPr>
          <w:ilvl w:val="1"/>
          <w:numId w:val="14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lastRenderedPageBreak/>
        <w:t>Gerar arquivo de remessa</w:t>
      </w:r>
    </w:p>
    <w:p w:rsidR="00040F0E" w:rsidRDefault="00BA71E4">
      <w:pPr>
        <w:pStyle w:val="Rodap"/>
        <w:numPr>
          <w:ilvl w:val="0"/>
          <w:numId w:val="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No sistema ERPJ acessar o menu (Financeiro – Contas a Pagar – Remessa de Pagamento – Gerar Remessa);</w:t>
      </w:r>
    </w:p>
    <w:p w:rsidR="00040F0E" w:rsidRDefault="00BA71E4">
      <w:pPr>
        <w:pStyle w:val="Rodap"/>
        <w:ind w:left="709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1270">
            <wp:extent cx="5828030" cy="4152900"/>
            <wp:effectExtent l="0" t="0" r="0" b="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0E" w:rsidRDefault="00040F0E">
      <w:pPr>
        <w:pStyle w:val="Rodap"/>
        <w:ind w:left="709"/>
        <w:rPr>
          <w:rFonts w:ascii="Calibri" w:hAnsi="Calibri" w:cs="Calibri"/>
          <w:bCs/>
          <w:lang w:val="pt-BR"/>
        </w:rPr>
      </w:pPr>
    </w:p>
    <w:p w:rsidR="00040F0E" w:rsidRDefault="00BA71E4">
      <w:pPr>
        <w:pStyle w:val="Rodap"/>
        <w:numPr>
          <w:ilvl w:val="0"/>
          <w:numId w:val="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Selecionar todos os tipos de pagamentos (Títulos – Impostos – Transferências – Convênios);</w:t>
      </w:r>
    </w:p>
    <w:p w:rsidR="00040F0E" w:rsidRDefault="00BA71E4">
      <w:pPr>
        <w:pStyle w:val="Rodap"/>
        <w:numPr>
          <w:ilvl w:val="0"/>
          <w:numId w:val="5"/>
        </w:numPr>
      </w:pPr>
      <w:r>
        <w:rPr>
          <w:rFonts w:ascii="Calibri" w:hAnsi="Calibri" w:cs="Calibri"/>
          <w:bCs/>
          <w:lang w:val="pt-BR"/>
        </w:rPr>
        <w:t>Selecionar o convênio cadastrado, colocar data do pagamento, data inicial, e data final, lembrando que, nos casos de feriado ou finais de semana, a data inicial deverá levar em conta o feriado ou o sábado;</w:t>
      </w:r>
    </w:p>
    <w:p w:rsidR="00040F0E" w:rsidRDefault="00BA71E4">
      <w:pPr>
        <w:pStyle w:val="Rodap"/>
        <w:numPr>
          <w:ilvl w:val="0"/>
          <w:numId w:val="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Clicar no botão Gerar previsão, para ver se está tudo certo, e após gerar remessa;</w:t>
      </w:r>
    </w:p>
    <w:p w:rsidR="00040F0E" w:rsidRDefault="00040F0E">
      <w:pPr>
        <w:pStyle w:val="Rodap"/>
        <w:ind w:left="1080"/>
        <w:rPr>
          <w:rFonts w:ascii="Calibri" w:hAnsi="Calibri" w:cs="Calibri"/>
          <w:bCs/>
          <w:lang w:val="pt-BR"/>
        </w:rPr>
      </w:pPr>
    </w:p>
    <w:p w:rsidR="00040F0E" w:rsidRDefault="00BA71E4">
      <w:pPr>
        <w:pStyle w:val="Rodap"/>
        <w:rPr>
          <w:lang w:val="pt-BR"/>
        </w:rPr>
      </w:pPr>
      <w:r>
        <w:rPr>
          <w:noProof/>
          <w:lang w:val="pt-BR" w:eastAsia="pt-BR"/>
        </w:rPr>
        <w:drawing>
          <wp:inline distT="0" distB="1905" distL="0" distR="0">
            <wp:extent cx="6505575" cy="3046095"/>
            <wp:effectExtent l="0" t="0" r="0" b="0"/>
            <wp:docPr id="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0E" w:rsidRDefault="00040F0E">
      <w:pPr>
        <w:pStyle w:val="Rodap"/>
        <w:rPr>
          <w:lang w:val="pt-BR"/>
        </w:rPr>
      </w:pPr>
    </w:p>
    <w:p w:rsidR="00040F0E" w:rsidRDefault="00040F0E">
      <w:pPr>
        <w:pStyle w:val="Rodap"/>
        <w:rPr>
          <w:lang w:val="pt-BR"/>
        </w:rPr>
      </w:pPr>
    </w:p>
    <w:p w:rsidR="00040F0E" w:rsidRDefault="00BA71E4">
      <w:pPr>
        <w:pStyle w:val="Rodap"/>
        <w:numPr>
          <w:ilvl w:val="0"/>
          <w:numId w:val="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lastRenderedPageBreak/>
        <w:t>Imprimir o relatório, e exportar o arquivo;</w:t>
      </w:r>
    </w:p>
    <w:p w:rsidR="00040F0E" w:rsidRDefault="00BA71E4">
      <w:pPr>
        <w:pStyle w:val="Rodap"/>
        <w:numPr>
          <w:ilvl w:val="0"/>
          <w:numId w:val="5"/>
        </w:numPr>
      </w:pPr>
      <w:r>
        <w:rPr>
          <w:rFonts w:ascii="Calibri" w:hAnsi="Calibri" w:cs="Calibri"/>
          <w:bCs/>
          <w:lang w:val="pt-BR"/>
        </w:rPr>
        <w:t>Se pagos pelo Banco Itaú, lançar boletos diretamente pelo site. (</w:t>
      </w:r>
      <w:hyperlink r:id="rId12">
        <w:r>
          <w:rPr>
            <w:rStyle w:val="LinkdaInternet"/>
            <w:rFonts w:ascii="Calibri" w:hAnsi="Calibri" w:cs="Calibri"/>
            <w:bCs/>
            <w:lang w:val="pt-BR"/>
          </w:rPr>
          <w:t>www.itau.com.br</w:t>
        </w:r>
      </w:hyperlink>
      <w:r>
        <w:rPr>
          <w:rFonts w:ascii="Calibri" w:hAnsi="Calibri" w:cs="Calibri"/>
          <w:bCs/>
          <w:lang w:val="pt-BR"/>
        </w:rPr>
        <w:t>)</w:t>
      </w:r>
    </w:p>
    <w:p w:rsidR="00040F0E" w:rsidRDefault="00BA71E4">
      <w:pPr>
        <w:pStyle w:val="Rodap"/>
        <w:numPr>
          <w:ilvl w:val="0"/>
          <w:numId w:val="5"/>
        </w:numPr>
      </w:pPr>
      <w:r>
        <w:rPr>
          <w:rFonts w:ascii="Calibri" w:hAnsi="Calibri" w:cs="Calibri"/>
          <w:bCs/>
          <w:lang w:val="pt-BR"/>
        </w:rPr>
        <w:t>Se pagos pelo Banco Santander, anotar o nome e o local onde o arquivo está salvo e enviar pelo site (</w:t>
      </w:r>
      <w:hyperlink r:id="rId13">
        <w:r>
          <w:rPr>
            <w:rStyle w:val="LinkdaInternet"/>
            <w:rFonts w:ascii="Calibri" w:hAnsi="Calibri" w:cs="Calibri"/>
            <w:bCs/>
            <w:lang w:val="pt-BR"/>
          </w:rPr>
          <w:t>www.santanderempresarial.com.br</w:t>
        </w:r>
      </w:hyperlink>
      <w:r>
        <w:rPr>
          <w:rFonts w:ascii="Calibri" w:hAnsi="Calibri" w:cs="Calibri"/>
          <w:bCs/>
          <w:lang w:val="pt-BR"/>
        </w:rPr>
        <w:t xml:space="preserve">) </w:t>
      </w:r>
    </w:p>
    <w:p w:rsidR="00040F0E" w:rsidRDefault="00BA71E4">
      <w:pPr>
        <w:pStyle w:val="Rodap"/>
        <w:numPr>
          <w:ilvl w:val="0"/>
          <w:numId w:val="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Entrar na conta da Auto Geral;</w:t>
      </w:r>
    </w:p>
    <w:p w:rsidR="00040F0E" w:rsidRDefault="00BA71E4">
      <w:pPr>
        <w:pStyle w:val="Rodap"/>
        <w:numPr>
          <w:ilvl w:val="0"/>
          <w:numId w:val="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Clicar na Aba Transferência de arquivos – Remessa Transmitir;</w:t>
      </w:r>
    </w:p>
    <w:p w:rsidR="00040F0E" w:rsidRDefault="00BA71E4">
      <w:pPr>
        <w:pStyle w:val="Rodap"/>
        <w:numPr>
          <w:ilvl w:val="0"/>
          <w:numId w:val="5"/>
        </w:numPr>
      </w:pPr>
      <w:r>
        <w:rPr>
          <w:rFonts w:ascii="Calibri" w:hAnsi="Calibri" w:cs="Calibri"/>
          <w:bCs/>
          <w:lang w:val="pt-BR"/>
        </w:rPr>
        <w:t>Selecionar Produtos – Pagamentos de Fornecedores.</w:t>
      </w:r>
    </w:p>
    <w:p w:rsidR="00040F0E" w:rsidRDefault="00BA71E4">
      <w:pPr>
        <w:pStyle w:val="Rodap"/>
        <w:numPr>
          <w:ilvl w:val="0"/>
          <w:numId w:val="5"/>
        </w:numPr>
      </w:pPr>
      <w:r>
        <w:rPr>
          <w:rFonts w:ascii="Calibri" w:hAnsi="Calibri" w:cs="Calibri"/>
          <w:bCs/>
          <w:lang w:val="pt-BR"/>
        </w:rPr>
        <w:t>Selecionar Layout – Fornecedores e Tributo Eletrônico / 240 / TCVJ.</w:t>
      </w:r>
    </w:p>
    <w:p w:rsidR="00040F0E" w:rsidRDefault="00BA71E4">
      <w:pPr>
        <w:pStyle w:val="Rodap"/>
        <w:numPr>
          <w:ilvl w:val="0"/>
          <w:numId w:val="5"/>
        </w:numPr>
      </w:pPr>
      <w:r>
        <w:rPr>
          <w:rFonts w:ascii="Calibri" w:hAnsi="Calibri" w:cs="Calibri"/>
          <w:bCs/>
          <w:lang w:val="pt-BR"/>
        </w:rPr>
        <w:t>Selecionar Arquivo a ser transmitido – Clicar em Transmitir.</w:t>
      </w:r>
    </w:p>
    <w:p w:rsidR="00040F0E" w:rsidRDefault="00BA71E4">
      <w:pPr>
        <w:pStyle w:val="Rodap"/>
        <w:numPr>
          <w:ilvl w:val="0"/>
          <w:numId w:val="5"/>
        </w:numPr>
        <w:rPr>
          <w:lang w:val="pt-BR"/>
        </w:rPr>
      </w:pPr>
      <w:r>
        <w:rPr>
          <w:rFonts w:ascii="Calibri" w:hAnsi="Calibri" w:cs="Calibri"/>
          <w:bCs/>
          <w:lang w:val="pt-BR"/>
        </w:rPr>
        <w:t>Solicitar senhas e dados confidenciais com o Superior Imediato.</w:t>
      </w:r>
      <w:r>
        <w:rPr>
          <w:rFonts w:ascii="Calibri" w:eastAsia="Calibri" w:hAnsi="Calibri" w:cs="Calibri"/>
          <w:bCs/>
          <w:lang w:val="pt-BR"/>
        </w:rPr>
        <w:t xml:space="preserve">   </w:t>
      </w:r>
    </w:p>
    <w:p w:rsidR="00040F0E" w:rsidRDefault="00BA71E4">
      <w:pPr>
        <w:pStyle w:val="Rodap"/>
        <w:numPr>
          <w:ilvl w:val="0"/>
          <w:numId w:val="5"/>
        </w:numPr>
        <w:rPr>
          <w:rFonts w:ascii="Calibri" w:eastAsia="Calibri" w:hAnsi="Calibri" w:cs="Calibri"/>
          <w:bCs/>
          <w:lang w:val="pt-BR"/>
        </w:rPr>
      </w:pPr>
      <w:r>
        <w:rPr>
          <w:rFonts w:ascii="Calibri" w:eastAsia="Calibri" w:hAnsi="Calibri" w:cs="Calibri"/>
          <w:bCs/>
          <w:lang w:val="pt-BR"/>
        </w:rPr>
        <w:t>Avisar o responsável pela autorização do pagamento (Angélica ou Cristiane)</w:t>
      </w:r>
    </w:p>
    <w:p w:rsidR="00040F0E" w:rsidRDefault="00040F0E">
      <w:pPr>
        <w:pStyle w:val="Rodap"/>
        <w:ind w:left="1080"/>
        <w:rPr>
          <w:rFonts w:ascii="Calibri" w:eastAsia="Calibri" w:hAnsi="Calibri" w:cs="Calibri"/>
          <w:bCs/>
          <w:lang w:val="pt-BR"/>
        </w:rPr>
      </w:pPr>
    </w:p>
    <w:p w:rsidR="00040F0E" w:rsidRDefault="00BA71E4" w:rsidP="0081486E">
      <w:pPr>
        <w:pStyle w:val="Rodap"/>
        <w:numPr>
          <w:ilvl w:val="1"/>
          <w:numId w:val="14"/>
        </w:numPr>
        <w:rPr>
          <w:rFonts w:ascii="Calibri" w:eastAsia="Calibri" w:hAnsi="Calibri" w:cs="Calibri"/>
          <w:b/>
          <w:bCs/>
          <w:lang w:val="pt-BR"/>
        </w:rPr>
      </w:pPr>
      <w:r>
        <w:rPr>
          <w:rFonts w:ascii="Calibri" w:eastAsia="Calibri" w:hAnsi="Calibri" w:cs="Calibri"/>
          <w:b/>
          <w:bCs/>
          <w:lang w:val="pt-BR"/>
        </w:rPr>
        <w:t>Processar arquivo de retorno;</w:t>
      </w:r>
    </w:p>
    <w:p w:rsidR="00040F0E" w:rsidRDefault="00BA71E4">
      <w:pPr>
        <w:pStyle w:val="Rodap"/>
        <w:numPr>
          <w:ilvl w:val="0"/>
          <w:numId w:val="6"/>
        </w:numPr>
        <w:rPr>
          <w:rFonts w:ascii="Calibri" w:eastAsia="Calibri" w:hAnsi="Calibri" w:cs="Calibri"/>
          <w:bCs/>
          <w:lang w:val="pt-BR"/>
        </w:rPr>
      </w:pPr>
      <w:r>
        <w:rPr>
          <w:rFonts w:ascii="Calibri" w:eastAsia="Calibri" w:hAnsi="Calibri" w:cs="Calibri"/>
          <w:bCs/>
          <w:lang w:val="pt-BR"/>
        </w:rPr>
        <w:t xml:space="preserve">Todos os dias, processar o arquivo de retorno, para baixar as duplicatas pagas. </w:t>
      </w:r>
    </w:p>
    <w:p w:rsidR="00040F0E" w:rsidRDefault="00BA71E4">
      <w:pPr>
        <w:pStyle w:val="Rodap"/>
        <w:numPr>
          <w:ilvl w:val="0"/>
          <w:numId w:val="6"/>
        </w:numPr>
        <w:rPr>
          <w:lang w:val="pt-BR"/>
        </w:rPr>
      </w:pPr>
      <w:r>
        <w:rPr>
          <w:rFonts w:ascii="Calibri" w:eastAsia="Calibri" w:hAnsi="Calibri" w:cs="Calibri"/>
          <w:bCs/>
          <w:lang w:val="pt-BR"/>
        </w:rPr>
        <w:t xml:space="preserve">No site do banco Santander </w:t>
      </w:r>
      <w:r>
        <w:rPr>
          <w:rFonts w:ascii="Calibri" w:hAnsi="Calibri" w:cs="Calibri"/>
          <w:bCs/>
          <w:lang w:val="pt-BR"/>
        </w:rPr>
        <w:t>(www.santanderempresarial.com.br</w:t>
      </w:r>
      <w:r>
        <w:rPr>
          <w:rFonts w:ascii="Calibri" w:eastAsia="Calibri" w:hAnsi="Calibri" w:cs="Calibri"/>
          <w:bCs/>
          <w:lang w:val="pt-BR"/>
        </w:rPr>
        <w:t>), clicar na Aba Transferência de Arquivos – Retorno – Consultar – Selecionar Pagamento Fornecedores – Selecionar o período – Salvar Tipo de Arquivo Movimento;</w:t>
      </w:r>
    </w:p>
    <w:p w:rsidR="00040F0E" w:rsidRDefault="00BA71E4">
      <w:pPr>
        <w:pStyle w:val="Rodap"/>
        <w:numPr>
          <w:ilvl w:val="0"/>
          <w:numId w:val="6"/>
        </w:numPr>
        <w:rPr>
          <w:rFonts w:ascii="Calibri" w:eastAsia="Calibri" w:hAnsi="Calibri" w:cs="Calibri"/>
          <w:bCs/>
          <w:lang w:val="pt-BR"/>
        </w:rPr>
      </w:pPr>
      <w:r>
        <w:rPr>
          <w:rFonts w:ascii="Calibri" w:eastAsia="Calibri" w:hAnsi="Calibri" w:cs="Calibri"/>
          <w:bCs/>
          <w:lang w:val="pt-BR"/>
        </w:rPr>
        <w:t>No sistema ERP-J acessar o menu (Financeiro – Contas a Pagar – Remessas de Pagamentos – Processar retorno)</w:t>
      </w:r>
    </w:p>
    <w:p w:rsidR="00040F0E" w:rsidRDefault="00BA71E4">
      <w:pPr>
        <w:pStyle w:val="Rodap"/>
        <w:ind w:left="1418"/>
        <w:rPr>
          <w:lang w:val="pt-BR"/>
        </w:rPr>
      </w:pPr>
      <w:r>
        <w:rPr>
          <w:noProof/>
          <w:lang w:val="pt-BR" w:eastAsia="pt-BR"/>
        </w:rPr>
        <w:drawing>
          <wp:inline distT="0" distB="9525" distL="0" distR="9525">
            <wp:extent cx="4714875" cy="3952875"/>
            <wp:effectExtent l="0" t="0" r="0" b="0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0E" w:rsidRDefault="00BA71E4">
      <w:pPr>
        <w:pStyle w:val="Rodap"/>
        <w:ind w:left="360"/>
        <w:rPr>
          <w:lang w:val="pt-BR"/>
        </w:rPr>
      </w:pPr>
      <w:r>
        <w:rPr>
          <w:rFonts w:ascii="Calibri" w:eastAsia="Calibri" w:hAnsi="Calibri" w:cs="Calibri"/>
          <w:bCs/>
          <w:lang w:val="pt-BR"/>
        </w:rPr>
        <w:t xml:space="preserve"> </w:t>
      </w:r>
    </w:p>
    <w:p w:rsidR="00040F0E" w:rsidRDefault="00BA71E4" w:rsidP="0081486E">
      <w:pPr>
        <w:pStyle w:val="Rodap"/>
        <w:numPr>
          <w:ilvl w:val="1"/>
          <w:numId w:val="14"/>
        </w:numPr>
        <w:tabs>
          <w:tab w:val="left" w:pos="-1783"/>
          <w:tab w:val="left" w:pos="197"/>
        </w:tabs>
        <w:rPr>
          <w:rFonts w:ascii="Calibri" w:hAnsi="Calibri" w:cs="Calibri"/>
          <w:b/>
          <w:lang w:val="pt-BR"/>
        </w:rPr>
      </w:pPr>
      <w:r>
        <w:rPr>
          <w:rFonts w:ascii="Calibri" w:hAnsi="Calibri" w:cs="Calibri"/>
          <w:b/>
          <w:lang w:val="pt-BR"/>
        </w:rPr>
        <w:t>Gerar crédito (haver) ou estornar cartão:</w:t>
      </w:r>
    </w:p>
    <w:p w:rsidR="00040F0E" w:rsidRDefault="00BA71E4">
      <w:pPr>
        <w:pStyle w:val="Rodap"/>
        <w:numPr>
          <w:ilvl w:val="0"/>
          <w:numId w:val="7"/>
        </w:numPr>
        <w:tabs>
          <w:tab w:val="left" w:pos="-1028"/>
          <w:tab w:val="left" w:pos="157"/>
        </w:tabs>
        <w:jc w:val="both"/>
        <w:rPr>
          <w:lang w:val="pt-BR"/>
        </w:rPr>
      </w:pPr>
      <w:r>
        <w:rPr>
          <w:rFonts w:ascii="Calibri" w:hAnsi="Calibri" w:cs="Calibri"/>
          <w:lang w:val="pt-BR"/>
        </w:rPr>
        <w:t xml:space="preserve">Gerar crédito </w:t>
      </w:r>
    </w:p>
    <w:p w:rsidR="00040F0E" w:rsidRDefault="00BA71E4">
      <w:pPr>
        <w:pStyle w:val="Rodap"/>
        <w:numPr>
          <w:ilvl w:val="0"/>
          <w:numId w:val="7"/>
        </w:numPr>
        <w:tabs>
          <w:tab w:val="left" w:pos="-579"/>
          <w:tab w:val="left" w:pos="-234"/>
        </w:tabs>
        <w:jc w:val="both"/>
        <w:rPr>
          <w:lang w:val="pt-BR"/>
        </w:rPr>
      </w:pPr>
      <w:r>
        <w:rPr>
          <w:rFonts w:ascii="Calibri" w:hAnsi="Calibri"/>
          <w:lang w:val="pt-BR"/>
        </w:rPr>
        <w:t xml:space="preserve">Quando </w:t>
      </w:r>
      <w:r>
        <w:rPr>
          <w:rFonts w:ascii="Calibri" w:hAnsi="Calibri" w:cs="Calibri"/>
          <w:lang w:val="pt-BR"/>
        </w:rPr>
        <w:t>o cliente pagar em dinheiro ou cartão de crédito e devolver o produto por motivo de não ter a necessidade de uso da peça, devemos emitir a nota de devolução conforme procedimentos da ITFI-002, com o modo de pagamento 143 (Adiantamento);</w:t>
      </w:r>
    </w:p>
    <w:p w:rsidR="00040F0E" w:rsidRDefault="00040F0E">
      <w:pPr>
        <w:pStyle w:val="Rodap"/>
        <w:tabs>
          <w:tab w:val="left" w:pos="3741"/>
          <w:tab w:val="left" w:pos="4086"/>
        </w:tabs>
        <w:ind w:left="2836"/>
        <w:jc w:val="both"/>
        <w:rPr>
          <w:lang w:val="pt-BR"/>
        </w:rPr>
      </w:pPr>
    </w:p>
    <w:p w:rsidR="00040F0E" w:rsidRDefault="00BA71E4">
      <w:pPr>
        <w:pStyle w:val="Rodap"/>
        <w:numPr>
          <w:ilvl w:val="0"/>
          <w:numId w:val="8"/>
        </w:numPr>
        <w:tabs>
          <w:tab w:val="left" w:pos="-1028"/>
        </w:tabs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Estorno de Cartão</w:t>
      </w:r>
    </w:p>
    <w:p w:rsidR="00040F0E" w:rsidRDefault="00BA71E4">
      <w:pPr>
        <w:pStyle w:val="Rodap"/>
        <w:numPr>
          <w:ilvl w:val="0"/>
          <w:numId w:val="8"/>
        </w:numPr>
        <w:tabs>
          <w:tab w:val="left" w:pos="-518"/>
        </w:tabs>
        <w:jc w:val="both"/>
        <w:rPr>
          <w:lang w:val="pt-BR"/>
        </w:rPr>
      </w:pPr>
      <w:r>
        <w:rPr>
          <w:rFonts w:ascii="Calibri" w:hAnsi="Calibri" w:cs="Calibri"/>
          <w:lang w:val="pt-BR"/>
        </w:rPr>
        <w:t>Quando o cliente devolver o produto por motivo de a peça não servir ao veículo e a empresa não tiver o produto para atender suas necessidades, devemos emitir a nota de devolução, conforme procedimentos da ITFI-002 e fazer o estorno do cartão conforme procedimento abaixo:</w:t>
      </w:r>
    </w:p>
    <w:p w:rsidR="00040F0E" w:rsidRDefault="00BA71E4">
      <w:pPr>
        <w:pStyle w:val="Rodap"/>
        <w:numPr>
          <w:ilvl w:val="0"/>
          <w:numId w:val="8"/>
        </w:numPr>
        <w:tabs>
          <w:tab w:val="left" w:pos="1356"/>
        </w:tabs>
        <w:jc w:val="both"/>
        <w:rPr>
          <w:lang w:val="pt-BR"/>
        </w:rPr>
      </w:pPr>
      <w:r>
        <w:rPr>
          <w:rFonts w:ascii="Calibri" w:hAnsi="Calibri" w:cs="Calibri"/>
          <w:lang w:val="pt-BR"/>
        </w:rPr>
        <w:t xml:space="preserve">Solicitar o cartão do cliente </w:t>
      </w:r>
      <w:r>
        <w:rPr>
          <w:rFonts w:ascii="Calibri" w:eastAsia="Calibri" w:hAnsi="Calibri" w:cs="Calibri"/>
          <w:lang w:val="pt-BR"/>
        </w:rPr>
        <w:t>junto</w:t>
      </w:r>
      <w:r>
        <w:rPr>
          <w:rFonts w:ascii="Calibri" w:hAnsi="Calibri" w:cs="Calibri"/>
          <w:lang w:val="pt-BR"/>
        </w:rPr>
        <w:t xml:space="preserve"> com comprovante de pagamento da venda;</w:t>
      </w:r>
    </w:p>
    <w:p w:rsidR="00040F0E" w:rsidRDefault="00BA71E4">
      <w:pPr>
        <w:pStyle w:val="Rodap"/>
        <w:numPr>
          <w:ilvl w:val="0"/>
          <w:numId w:val="8"/>
        </w:numPr>
        <w:tabs>
          <w:tab w:val="left" w:pos="1356"/>
        </w:tabs>
        <w:jc w:val="both"/>
        <w:rPr>
          <w:lang w:val="pt-BR"/>
        </w:rPr>
      </w:pPr>
      <w:r>
        <w:rPr>
          <w:rFonts w:ascii="Calibri" w:hAnsi="Calibri" w:cs="Calibri"/>
          <w:lang w:val="pt-BR"/>
        </w:rPr>
        <w:t>Se a venda for do dia o estorno será feito pelo caixa na mesma máquina em que foi efetuado o pagamento;</w:t>
      </w:r>
    </w:p>
    <w:p w:rsidR="00040F0E" w:rsidRDefault="00BA71E4">
      <w:pPr>
        <w:pStyle w:val="Rodap"/>
        <w:numPr>
          <w:ilvl w:val="0"/>
          <w:numId w:val="8"/>
        </w:numPr>
        <w:tabs>
          <w:tab w:val="left" w:pos="1401"/>
        </w:tabs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lastRenderedPageBreak/>
        <w:t>Se a venda não for no dia o estorno será através do Site da operadora com contrato vigente, gerando um protocolo de estorno.</w:t>
      </w:r>
    </w:p>
    <w:p w:rsidR="00040F0E" w:rsidRDefault="00040F0E">
      <w:pPr>
        <w:pStyle w:val="Rodap"/>
        <w:tabs>
          <w:tab w:val="left" w:pos="1401"/>
        </w:tabs>
        <w:ind w:left="1080"/>
        <w:jc w:val="both"/>
        <w:rPr>
          <w:rFonts w:ascii="Calibri" w:hAnsi="Calibri" w:cs="Calibri"/>
          <w:lang w:val="pt-BR"/>
        </w:rPr>
      </w:pPr>
    </w:p>
    <w:p w:rsidR="00040F0E" w:rsidRDefault="00BA71E4" w:rsidP="0081486E">
      <w:pPr>
        <w:pStyle w:val="Rodap"/>
        <w:numPr>
          <w:ilvl w:val="1"/>
          <w:numId w:val="14"/>
        </w:numPr>
        <w:tabs>
          <w:tab w:val="left" w:pos="1401"/>
        </w:tabs>
        <w:jc w:val="both"/>
        <w:rPr>
          <w:rFonts w:ascii="Calibri" w:hAnsi="Calibri" w:cs="Calibri"/>
          <w:b/>
          <w:lang w:val="pt-BR"/>
        </w:rPr>
      </w:pPr>
      <w:r>
        <w:rPr>
          <w:rFonts w:ascii="Calibri" w:hAnsi="Calibri" w:cs="Calibri"/>
          <w:b/>
          <w:lang w:val="pt-BR"/>
        </w:rPr>
        <w:t>Prazos para estornos no site:</w:t>
      </w:r>
    </w:p>
    <w:p w:rsidR="00040F0E" w:rsidRDefault="00BA71E4">
      <w:pPr>
        <w:pStyle w:val="Rodap"/>
        <w:numPr>
          <w:ilvl w:val="0"/>
          <w:numId w:val="9"/>
        </w:numPr>
        <w:tabs>
          <w:tab w:val="left" w:pos="1401"/>
        </w:tabs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Cartão de debito 7 dias corridos, contando a data da venda. Após essa data fazer o crédito ou devolução do dinheiro</w:t>
      </w:r>
    </w:p>
    <w:p w:rsidR="00040F0E" w:rsidRDefault="00BA71E4">
      <w:pPr>
        <w:pStyle w:val="Rodap"/>
        <w:numPr>
          <w:ilvl w:val="0"/>
          <w:numId w:val="9"/>
        </w:numPr>
        <w:tabs>
          <w:tab w:val="left" w:pos="1401"/>
        </w:tabs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Cartão de credito 90 dias da data da compra</w:t>
      </w:r>
    </w:p>
    <w:p w:rsidR="00040F0E" w:rsidRDefault="00040F0E">
      <w:pPr>
        <w:pStyle w:val="Rodap"/>
        <w:tabs>
          <w:tab w:val="left" w:pos="1401"/>
        </w:tabs>
        <w:rPr>
          <w:rFonts w:ascii="Calibri" w:hAnsi="Calibri" w:cs="Calibri"/>
          <w:lang w:val="pt-BR"/>
        </w:rPr>
      </w:pPr>
    </w:p>
    <w:p w:rsidR="00040F0E" w:rsidRDefault="00BA71E4" w:rsidP="0081486E">
      <w:pPr>
        <w:pStyle w:val="Rodap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Registros</w:t>
      </w:r>
    </w:p>
    <w:p w:rsidR="00040F0E" w:rsidRDefault="00BA71E4">
      <w:pPr>
        <w:pStyle w:val="Rodap"/>
        <w:ind w:left="360"/>
        <w:jc w:val="both"/>
        <w:rPr>
          <w:lang w:val="pt-BR"/>
        </w:rPr>
      </w:pPr>
      <w:r>
        <w:rPr>
          <w:rFonts w:ascii="Calibri" w:hAnsi="Calibri" w:cs="Calibri"/>
          <w:lang w:val="pt-BR"/>
        </w:rPr>
        <w:t xml:space="preserve">(Sem códigos) Relatórios diversos do sistema ERPJ </w:t>
      </w:r>
    </w:p>
    <w:p w:rsidR="00040F0E" w:rsidRDefault="00040F0E">
      <w:pPr>
        <w:pStyle w:val="Rodap"/>
        <w:jc w:val="both"/>
        <w:rPr>
          <w:rFonts w:ascii="Calibri" w:hAnsi="Calibri" w:cs="Calibri"/>
          <w:b/>
          <w:bCs/>
          <w:lang w:val="pt-BR"/>
        </w:rPr>
      </w:pPr>
    </w:p>
    <w:p w:rsidR="00040F0E" w:rsidRDefault="00BA71E4" w:rsidP="0081486E">
      <w:pPr>
        <w:pStyle w:val="Rodap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Histórico das Revisões</w:t>
      </w:r>
    </w:p>
    <w:p w:rsidR="00040F0E" w:rsidRDefault="00040F0E">
      <w:pPr>
        <w:pStyle w:val="Rodap"/>
        <w:jc w:val="both"/>
        <w:rPr>
          <w:rFonts w:ascii="Calibri" w:hAnsi="Calibri" w:cs="Calibri"/>
          <w:lang w:val="pt-BR"/>
        </w:rPr>
      </w:pPr>
    </w:p>
    <w:tbl>
      <w:tblPr>
        <w:tblW w:w="10395" w:type="dxa"/>
        <w:tblInd w:w="7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111"/>
        <w:gridCol w:w="4287"/>
        <w:gridCol w:w="3297"/>
        <w:gridCol w:w="1700"/>
      </w:tblGrid>
      <w:tr w:rsidR="00040F0E">
        <w:trPr>
          <w:cantSplit/>
          <w:trHeight w:val="427"/>
        </w:trPr>
        <w:tc>
          <w:tcPr>
            <w:tcW w:w="1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left w:w="69" w:type="dxa"/>
            </w:tcMar>
            <w:vAlign w:val="center"/>
          </w:tcPr>
          <w:p w:rsidR="00040F0E" w:rsidRDefault="00BA71E4">
            <w:pPr>
              <w:pStyle w:val="Rodap"/>
              <w:tabs>
                <w:tab w:val="left" w:pos="708"/>
              </w:tabs>
              <w:jc w:val="center"/>
              <w:rPr>
                <w:lang w:val="pt-BR"/>
              </w:rPr>
            </w:pPr>
            <w:r>
              <w:rPr>
                <w:rFonts w:ascii="Calibri" w:hAnsi="Calibri" w:cs="Arial"/>
                <w:b/>
                <w:bCs/>
                <w:lang w:val="pt-BR"/>
              </w:rPr>
              <w:t>Revisão</w:t>
            </w:r>
          </w:p>
        </w:tc>
        <w:tc>
          <w:tcPr>
            <w:tcW w:w="42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left w:w="69" w:type="dxa"/>
            </w:tcMar>
            <w:vAlign w:val="center"/>
          </w:tcPr>
          <w:p w:rsidR="00040F0E" w:rsidRDefault="00BA71E4">
            <w:pPr>
              <w:pStyle w:val="Rodap"/>
              <w:tabs>
                <w:tab w:val="left" w:pos="708"/>
              </w:tabs>
              <w:jc w:val="center"/>
              <w:rPr>
                <w:rFonts w:ascii="Calibri" w:hAnsi="Calibri" w:cs="Arial"/>
                <w:b/>
                <w:bCs/>
                <w:lang w:val="pt-BR"/>
              </w:rPr>
            </w:pPr>
            <w:r>
              <w:rPr>
                <w:rFonts w:ascii="Calibri" w:hAnsi="Calibri" w:cs="Arial"/>
                <w:b/>
                <w:bCs/>
                <w:lang w:val="pt-BR"/>
              </w:rPr>
              <w:t>Descrição</w:t>
            </w:r>
          </w:p>
        </w:tc>
        <w:tc>
          <w:tcPr>
            <w:tcW w:w="32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left w:w="69" w:type="dxa"/>
            </w:tcMar>
            <w:vAlign w:val="center"/>
          </w:tcPr>
          <w:p w:rsidR="00040F0E" w:rsidRDefault="00BA71E4">
            <w:pPr>
              <w:pStyle w:val="Rodap"/>
              <w:tabs>
                <w:tab w:val="left" w:pos="708"/>
              </w:tabs>
              <w:jc w:val="center"/>
              <w:rPr>
                <w:rFonts w:ascii="Calibri" w:hAnsi="Calibri" w:cs="Arial"/>
                <w:b/>
                <w:bCs/>
                <w:lang w:val="pt-BR"/>
              </w:rPr>
            </w:pPr>
            <w:r>
              <w:rPr>
                <w:rFonts w:ascii="Calibri" w:hAnsi="Calibri" w:cs="Arial"/>
                <w:b/>
                <w:bCs/>
                <w:lang w:val="pt-BR"/>
              </w:rPr>
              <w:t>Revisor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left w:w="69" w:type="dxa"/>
            </w:tcMar>
            <w:vAlign w:val="center"/>
          </w:tcPr>
          <w:p w:rsidR="00040F0E" w:rsidRDefault="00BA71E4">
            <w:pPr>
              <w:pStyle w:val="Rodap"/>
              <w:tabs>
                <w:tab w:val="left" w:pos="708"/>
              </w:tabs>
              <w:jc w:val="center"/>
              <w:rPr>
                <w:lang w:val="pt-BR"/>
              </w:rPr>
            </w:pPr>
            <w:r>
              <w:rPr>
                <w:rFonts w:ascii="Calibri" w:hAnsi="Calibri" w:cs="Arial"/>
                <w:b/>
                <w:bCs/>
                <w:lang w:val="pt-BR"/>
              </w:rPr>
              <w:t>Data</w:t>
            </w:r>
          </w:p>
        </w:tc>
      </w:tr>
      <w:tr w:rsidR="00040F0E">
        <w:trPr>
          <w:cantSplit/>
          <w:trHeight w:val="427"/>
        </w:trPr>
        <w:tc>
          <w:tcPr>
            <w:tcW w:w="1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40F0E" w:rsidRDefault="00BA71E4">
            <w:pPr>
              <w:spacing w:before="60" w:after="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00</w:t>
            </w:r>
          </w:p>
        </w:tc>
        <w:tc>
          <w:tcPr>
            <w:tcW w:w="42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40F0E" w:rsidRDefault="00BA71E4">
            <w:pPr>
              <w:pStyle w:val="Rodap"/>
              <w:tabs>
                <w:tab w:val="left" w:pos="708"/>
              </w:tabs>
              <w:spacing w:before="60" w:after="60"/>
              <w:jc w:val="both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>Emissão inicial</w:t>
            </w:r>
          </w:p>
        </w:tc>
        <w:tc>
          <w:tcPr>
            <w:tcW w:w="32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</w:tcPr>
          <w:p w:rsidR="00040F0E" w:rsidRDefault="00BA71E4">
            <w:pPr>
              <w:spacing w:before="60"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Silmara </w:t>
            </w:r>
            <w:proofErr w:type="spellStart"/>
            <w:r>
              <w:rPr>
                <w:rFonts w:ascii="Calibri" w:hAnsi="Calibri" w:cs="Arial"/>
              </w:rPr>
              <w:t>Candiani</w:t>
            </w:r>
            <w:proofErr w:type="spellEnd"/>
            <w:r>
              <w:rPr>
                <w:rFonts w:ascii="Calibri" w:hAnsi="Calibri" w:cs="Arial"/>
              </w:rPr>
              <w:t xml:space="preserve"> Lemes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40F0E" w:rsidRDefault="00BA71E4">
            <w:pPr>
              <w:spacing w:before="60"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11/07/2016</w:t>
            </w:r>
          </w:p>
        </w:tc>
      </w:tr>
      <w:tr w:rsidR="00040F0E">
        <w:trPr>
          <w:cantSplit/>
          <w:trHeight w:val="427"/>
        </w:trPr>
        <w:tc>
          <w:tcPr>
            <w:tcW w:w="1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40F0E" w:rsidRDefault="00BA71E4">
            <w:pPr>
              <w:spacing w:before="60" w:after="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01</w:t>
            </w:r>
          </w:p>
        </w:tc>
        <w:tc>
          <w:tcPr>
            <w:tcW w:w="42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40F0E" w:rsidRDefault="00BA71E4">
            <w:pPr>
              <w:pStyle w:val="Rodap"/>
              <w:tabs>
                <w:tab w:val="left" w:pos="708"/>
              </w:tabs>
              <w:spacing w:before="60" w:after="60"/>
              <w:jc w:val="both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>Revisão dos itens 4.2, 4.3 e 4.6</w:t>
            </w:r>
          </w:p>
        </w:tc>
        <w:tc>
          <w:tcPr>
            <w:tcW w:w="32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</w:tcPr>
          <w:p w:rsidR="00040F0E" w:rsidRDefault="00BA71E4">
            <w:pPr>
              <w:spacing w:before="60"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Silmara </w:t>
            </w:r>
            <w:proofErr w:type="spellStart"/>
            <w:r>
              <w:rPr>
                <w:rFonts w:ascii="Calibri" w:hAnsi="Calibri" w:cs="Arial"/>
              </w:rPr>
              <w:t>Candiani</w:t>
            </w:r>
            <w:proofErr w:type="spellEnd"/>
            <w:r>
              <w:rPr>
                <w:rFonts w:ascii="Calibri" w:hAnsi="Calibri" w:cs="Arial"/>
              </w:rPr>
              <w:t xml:space="preserve"> Lemes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40F0E" w:rsidRDefault="00BA71E4">
            <w:pPr>
              <w:spacing w:before="60"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27/02/2017</w:t>
            </w:r>
          </w:p>
        </w:tc>
      </w:tr>
      <w:tr w:rsidR="00040F0E">
        <w:trPr>
          <w:cantSplit/>
          <w:trHeight w:val="427"/>
        </w:trPr>
        <w:tc>
          <w:tcPr>
            <w:tcW w:w="1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40F0E" w:rsidRDefault="00BA71E4">
            <w:pPr>
              <w:spacing w:before="60" w:after="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02</w:t>
            </w:r>
          </w:p>
        </w:tc>
        <w:tc>
          <w:tcPr>
            <w:tcW w:w="42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40F0E" w:rsidRDefault="00BA71E4">
            <w:pPr>
              <w:pStyle w:val="Rodap"/>
              <w:tabs>
                <w:tab w:val="left" w:pos="708"/>
              </w:tabs>
              <w:spacing w:before="60" w:after="60"/>
              <w:jc w:val="both"/>
              <w:rPr>
                <w:rFonts w:ascii="Calibri" w:hAnsi="Calibri" w:cs="Arial"/>
                <w:lang w:val="pt-BR"/>
              </w:rPr>
            </w:pPr>
            <w:r>
              <w:rPr>
                <w:rFonts w:ascii="Calibri" w:hAnsi="Calibri" w:cs="Arial"/>
                <w:lang w:val="pt-BR"/>
              </w:rPr>
              <w:t>Revisão geral do documento</w:t>
            </w:r>
          </w:p>
        </w:tc>
        <w:tc>
          <w:tcPr>
            <w:tcW w:w="32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</w:tcPr>
          <w:p w:rsidR="00040F0E" w:rsidRDefault="00BA71E4">
            <w:pPr>
              <w:spacing w:before="60"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Silmara </w:t>
            </w:r>
            <w:proofErr w:type="spellStart"/>
            <w:r>
              <w:rPr>
                <w:rFonts w:ascii="Calibri" w:hAnsi="Calibri" w:cs="Arial"/>
              </w:rPr>
              <w:t>Candiani</w:t>
            </w:r>
            <w:proofErr w:type="spellEnd"/>
            <w:r>
              <w:rPr>
                <w:rFonts w:ascii="Calibri" w:hAnsi="Calibri" w:cs="Arial"/>
              </w:rPr>
              <w:t xml:space="preserve"> Lemes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40F0E" w:rsidRDefault="00BA71E4">
            <w:pPr>
              <w:spacing w:before="60"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29/05/2019</w:t>
            </w:r>
          </w:p>
        </w:tc>
      </w:tr>
    </w:tbl>
    <w:p w:rsidR="00040F0E" w:rsidRDefault="00040F0E">
      <w:pPr>
        <w:pStyle w:val="Rodap"/>
        <w:jc w:val="both"/>
        <w:rPr>
          <w:lang w:val="pt-BR"/>
        </w:rPr>
      </w:pPr>
    </w:p>
    <w:p w:rsidR="00040F0E" w:rsidRDefault="00040F0E">
      <w:pPr>
        <w:pStyle w:val="Rodap"/>
        <w:jc w:val="both"/>
      </w:pPr>
    </w:p>
    <w:sectPr w:rsidR="00040F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1" w:bottom="851" w:left="810" w:header="425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550" w:rsidRDefault="00BA71E4">
      <w:pPr>
        <w:rPr>
          <w:rFonts w:hint="eastAsia"/>
        </w:rPr>
      </w:pPr>
      <w:r>
        <w:separator/>
      </w:r>
    </w:p>
  </w:endnote>
  <w:endnote w:type="continuationSeparator" w:id="0">
    <w:p w:rsidR="00BB5550" w:rsidRDefault="00BA71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charset w:val="02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E4" w:rsidRDefault="00BA71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E4" w:rsidRDefault="00BA71E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E4" w:rsidRDefault="00BA7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550" w:rsidRDefault="00BA71E4">
      <w:pPr>
        <w:rPr>
          <w:rFonts w:hint="eastAsia"/>
        </w:rPr>
      </w:pPr>
      <w:r>
        <w:separator/>
      </w:r>
    </w:p>
  </w:footnote>
  <w:footnote w:type="continuationSeparator" w:id="0">
    <w:p w:rsidR="00BB5550" w:rsidRDefault="00BA71E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E4" w:rsidRDefault="00BA71E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38" w:type="dxa"/>
      <w:tblInd w:w="-80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6945"/>
      <w:gridCol w:w="1722"/>
    </w:tblGrid>
    <w:tr w:rsidR="00040F0E">
      <w:trPr>
        <w:cantSplit/>
        <w:trHeight w:val="450"/>
      </w:trPr>
      <w:tc>
        <w:tcPr>
          <w:tcW w:w="177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65" w:type="dxa"/>
          </w:tcMar>
        </w:tcPr>
        <w:p w:rsidR="00040F0E" w:rsidRDefault="00BA71E4">
          <w:pPr>
            <w:pStyle w:val="Standard"/>
            <w:jc w:val="center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904875" cy="904875"/>
                <wp:effectExtent l="0" t="0" r="0" b="0"/>
                <wp:docPr id="7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040F0E" w:rsidRDefault="00BA71E4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  <w:r>
            <w:rPr>
              <w:rFonts w:ascii="Calibri" w:hAnsi="Calibri" w:cs="Calibri"/>
              <w:b/>
              <w:caps/>
              <w:color w:val="000000"/>
              <w:sz w:val="24"/>
            </w:rPr>
            <w:t>Instrução de trabalho</w:t>
          </w:r>
        </w:p>
      </w:tc>
      <w:tc>
        <w:tcPr>
          <w:tcW w:w="172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040F0E" w:rsidRDefault="00BA71E4">
          <w:pPr>
            <w:pStyle w:val="Cabealho"/>
          </w:pPr>
          <w:r>
            <w:rPr>
              <w:rFonts w:ascii="Calibri" w:hAnsi="Calibri" w:cs="Calibri"/>
              <w:b/>
              <w:color w:val="000000"/>
              <w:sz w:val="18"/>
            </w:rPr>
            <w:t>Código:</w:t>
          </w:r>
          <w:r>
            <w:rPr>
              <w:rFonts w:ascii="Calibri" w:hAnsi="Calibri" w:cs="Calibri"/>
              <w:bCs/>
              <w:color w:val="000000"/>
              <w:sz w:val="18"/>
            </w:rPr>
            <w:t xml:space="preserve"> ITFI-005</w:t>
          </w:r>
        </w:p>
      </w:tc>
    </w:tr>
    <w:tr w:rsidR="00040F0E">
      <w:trPr>
        <w:cantSplit/>
        <w:trHeight w:val="276"/>
      </w:trPr>
      <w:tc>
        <w:tcPr>
          <w:tcW w:w="177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65" w:type="dxa"/>
          </w:tcMar>
        </w:tcPr>
        <w:p w:rsidR="00040F0E" w:rsidRDefault="00040F0E">
          <w:pPr>
            <w:rPr>
              <w:rFonts w:hint="eastAsia"/>
            </w:rPr>
          </w:pPr>
        </w:p>
      </w:tc>
      <w:tc>
        <w:tcPr>
          <w:tcW w:w="6945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040F0E" w:rsidRDefault="00040F0E">
          <w:pPr>
            <w:rPr>
              <w:rFonts w:hint="eastAsia"/>
            </w:rPr>
          </w:pPr>
        </w:p>
      </w:tc>
      <w:tc>
        <w:tcPr>
          <w:tcW w:w="1722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040F0E" w:rsidRDefault="00BA71E4">
          <w:pPr>
            <w:pStyle w:val="Cabealho"/>
          </w:pPr>
          <w:r>
            <w:rPr>
              <w:rFonts w:ascii="Calibri" w:hAnsi="Calibri" w:cs="Calibri"/>
              <w:b/>
              <w:color w:val="000000"/>
              <w:sz w:val="18"/>
            </w:rPr>
            <w:t xml:space="preserve">Revisão: </w:t>
          </w:r>
          <w:r>
            <w:rPr>
              <w:rFonts w:ascii="Calibri" w:hAnsi="Calibri" w:cs="Calibri"/>
              <w:bCs/>
              <w:color w:val="000000"/>
              <w:sz w:val="18"/>
            </w:rPr>
            <w:t>02</w:t>
          </w:r>
        </w:p>
      </w:tc>
    </w:tr>
    <w:tr w:rsidR="00040F0E">
      <w:trPr>
        <w:cantSplit/>
        <w:trHeight w:val="276"/>
      </w:trPr>
      <w:tc>
        <w:tcPr>
          <w:tcW w:w="177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65" w:type="dxa"/>
          </w:tcMar>
        </w:tcPr>
        <w:p w:rsidR="00040F0E" w:rsidRDefault="00040F0E">
          <w:pPr>
            <w:rPr>
              <w:rFonts w:hint="eastAsia"/>
            </w:rPr>
          </w:pPr>
        </w:p>
      </w:tc>
      <w:tc>
        <w:tcPr>
          <w:tcW w:w="6945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040F0E" w:rsidRDefault="00BA71E4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  <w:r>
            <w:rPr>
              <w:rFonts w:ascii="Calibri" w:hAnsi="Calibri" w:cs="Calibri"/>
              <w:b/>
              <w:caps/>
              <w:color w:val="000000"/>
              <w:sz w:val="24"/>
            </w:rPr>
            <w:t>Contas a Pagar</w:t>
          </w:r>
        </w:p>
      </w:tc>
      <w:tc>
        <w:tcPr>
          <w:tcW w:w="172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040F0E" w:rsidRDefault="00040F0E">
          <w:pPr>
            <w:rPr>
              <w:rFonts w:hint="eastAsia"/>
            </w:rPr>
          </w:pPr>
        </w:p>
      </w:tc>
    </w:tr>
    <w:tr w:rsidR="00040F0E">
      <w:trPr>
        <w:cantSplit/>
        <w:trHeight w:val="450"/>
      </w:trPr>
      <w:tc>
        <w:tcPr>
          <w:tcW w:w="177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65" w:type="dxa"/>
          </w:tcMar>
        </w:tcPr>
        <w:p w:rsidR="00040F0E" w:rsidRDefault="00040F0E">
          <w:pPr>
            <w:rPr>
              <w:rFonts w:hint="eastAsia"/>
            </w:rPr>
          </w:pPr>
        </w:p>
      </w:tc>
      <w:tc>
        <w:tcPr>
          <w:tcW w:w="6945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040F0E" w:rsidRDefault="00040F0E">
          <w:pPr>
            <w:rPr>
              <w:rFonts w:hint="eastAsia"/>
            </w:rPr>
          </w:pPr>
        </w:p>
      </w:tc>
      <w:tc>
        <w:tcPr>
          <w:tcW w:w="172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040F0E" w:rsidRDefault="00BA71E4">
          <w:pPr>
            <w:pStyle w:val="Cabealho"/>
          </w:pPr>
          <w:r>
            <w:rPr>
              <w:rFonts w:ascii="Calibri" w:hAnsi="Calibri" w:cs="Calibri"/>
              <w:b/>
              <w:color w:val="000000"/>
              <w:sz w:val="18"/>
            </w:rPr>
            <w:t xml:space="preserve">Página: </w:t>
          </w:r>
          <w:r>
            <w:rPr>
              <w:rFonts w:ascii="Calibri" w:hAnsi="Calibri" w:cs="Calibri"/>
              <w:b/>
              <w:bCs/>
              <w:color w:val="000000"/>
              <w:sz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81486E">
            <w:rPr>
              <w:noProof/>
            </w:rPr>
            <w:t>5</w:t>
          </w:r>
          <w:r>
            <w:fldChar w:fldCharType="end"/>
          </w:r>
          <w:r>
            <w:rPr>
              <w:rFonts w:ascii="Calibri" w:hAnsi="Calibri" w:cs="Calibri"/>
              <w:bCs/>
              <w:color w:val="000000"/>
              <w:sz w:val="18"/>
            </w:rPr>
            <w:t xml:space="preserve"> de </w:t>
          </w:r>
          <w:r>
            <w:rPr>
              <w:rFonts w:ascii="Calibri" w:hAnsi="Calibri" w:cs="Calibri"/>
              <w:bCs/>
              <w:color w:val="000000"/>
              <w:sz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81486E">
            <w:rPr>
              <w:noProof/>
            </w:rPr>
            <w:t>5</w:t>
          </w:r>
          <w:r>
            <w:fldChar w:fldCharType="end"/>
          </w:r>
        </w:p>
      </w:tc>
    </w:tr>
  </w:tbl>
  <w:sdt>
    <w:sdtPr>
      <w:id w:val="261102080"/>
      <w:docPartObj>
        <w:docPartGallery w:val="Watermarks"/>
        <w:docPartUnique/>
      </w:docPartObj>
    </w:sdtPr>
    <w:sdtEndPr/>
    <w:sdtContent>
      <w:p w:rsidR="00040F0E" w:rsidRDefault="0081486E">
        <w:pPr>
          <w:pStyle w:val="Cabealho"/>
        </w:pPr>
        <w:r>
          <w:pict>
            <v:shapetype id="shapetype_136" o:spid="_x0000_m1026" coordsize="21600,21600" o:spt="100" adj="10800,,0" path="m@9,l@10,em@11,21600l@12,21600e">
              <v:stroke joinstyle="miter"/>
              <v:formulas>
                <v:f eqn="val #0"/>
                <v:f eqn="sum @0 0 10800"/>
                <v:f eqn="val @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path o:connecttype="segments"/>
              <v:handles>
                <v:h position="@0,center"/>
              </v:handles>
            </v:shapetype>
          </w:pict>
        </w:r>
        <w:r>
          <w:pict>
            <v:shape id="PowerPlusWaterMarkObject29175470" o:spid="_x0000_s1025" type="#shapetype_136" style="position:absolute;margin-left:0;margin-top:0;width:525.2pt;height:196.95pt;rotation:315;z-index:-251658240;mso-position-horizontal:center;mso-position-horizontal-relative:margin;mso-position-vertical:center;mso-position-vertical-relative:margin" o:allowincell="f" filled="t" fillcolor="silver" stroked="f" strokecolor="#3465a4">
              <v:fill opacity=".5" color2="#3f3f3f" o:detectmouseclick="t" type="solid"/>
              <v:stroke joinstyle="round" endcap="flat"/>
              <v:path textpathok="t"/>
              <v:textpath on="t" style="font-family:&quot;calibri&quot;;font-size:1pt" fitshape="t" string="ORIGIN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E4" w:rsidRDefault="00BA7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614"/>
    <w:multiLevelType w:val="hybridMultilevel"/>
    <w:tmpl w:val="B2D417A2"/>
    <w:lvl w:ilvl="0" w:tplc="0B368BA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549"/>
    <w:multiLevelType w:val="multilevel"/>
    <w:tmpl w:val="AC4E96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912A21"/>
    <w:multiLevelType w:val="multilevel"/>
    <w:tmpl w:val="DE587A2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9D498A"/>
    <w:multiLevelType w:val="hybridMultilevel"/>
    <w:tmpl w:val="1DE64256"/>
    <w:lvl w:ilvl="0" w:tplc="809433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6384"/>
    <w:multiLevelType w:val="multilevel"/>
    <w:tmpl w:val="F8AA254C"/>
    <w:lvl w:ilvl="0">
      <w:start w:val="1"/>
      <w:numFmt w:val="bullet"/>
      <w:lvlText w:val=""/>
      <w:lvlJc w:val="left"/>
      <w:pPr>
        <w:ind w:lef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1225D8"/>
    <w:multiLevelType w:val="multilevel"/>
    <w:tmpl w:val="357E79A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097A09"/>
    <w:multiLevelType w:val="multilevel"/>
    <w:tmpl w:val="F8242E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/>
        <w:bCs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Calibri" w:hAnsi="Calibri" w:cs="Calibri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Calibri"/>
        <w:bCs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33F86309"/>
    <w:multiLevelType w:val="multilevel"/>
    <w:tmpl w:val="54140B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8B216EF"/>
    <w:multiLevelType w:val="multilevel"/>
    <w:tmpl w:val="1DD01710"/>
    <w:lvl w:ilvl="0">
      <w:start w:val="1"/>
      <w:numFmt w:val="decimal"/>
      <w:lvlText w:val="%1."/>
      <w:lvlJc w:val="left"/>
      <w:pPr>
        <w:ind w:left="720" w:firstLine="0"/>
      </w:pPr>
      <w:rPr>
        <w:rFonts w:ascii="Calibri" w:hAnsi="Calibri"/>
        <w:b/>
        <w:bCs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Calibri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Calibri"/>
        <w:bCs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4D807DCC"/>
    <w:multiLevelType w:val="multilevel"/>
    <w:tmpl w:val="B8B8E6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FA520D6"/>
    <w:multiLevelType w:val="multilevel"/>
    <w:tmpl w:val="DE645D84"/>
    <w:lvl w:ilvl="0">
      <w:start w:val="1"/>
      <w:numFmt w:val="bullet"/>
      <w:lvlText w:val=""/>
      <w:lvlJc w:val="left"/>
      <w:pPr>
        <w:ind w:left="1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B3200D"/>
    <w:multiLevelType w:val="multilevel"/>
    <w:tmpl w:val="9ACAAD74"/>
    <w:lvl w:ilvl="0">
      <w:start w:val="1"/>
      <w:numFmt w:val="bullet"/>
      <w:lvlText w:val=""/>
      <w:lvlJc w:val="left"/>
      <w:pPr>
        <w:ind w:lef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A93428"/>
    <w:multiLevelType w:val="multilevel"/>
    <w:tmpl w:val="4390462C"/>
    <w:lvl w:ilvl="0"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FE489C"/>
    <w:multiLevelType w:val="multilevel"/>
    <w:tmpl w:val="AE3CE3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1"/>
  </w:num>
  <w:num w:numId="7">
    <w:abstractNumId w:val="12"/>
  </w:num>
  <w:num w:numId="8">
    <w:abstractNumId w:val="9"/>
  </w:num>
  <w:num w:numId="9">
    <w:abstractNumId w:val="10"/>
  </w:num>
  <w:num w:numId="10">
    <w:abstractNumId w:val="13"/>
  </w:num>
  <w:num w:numId="11">
    <w:abstractNumId w:val="0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0E"/>
    <w:rsid w:val="00040F0E"/>
    <w:rsid w:val="0081486E"/>
    <w:rsid w:val="00BA71E4"/>
    <w:rsid w:val="00B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319A4483-DBCC-465D-B3C8-F3D894D4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tulo1">
    <w:name w:val="heading 1"/>
    <w:qFormat/>
    <w:pPr>
      <w:widowControl w:val="0"/>
      <w:spacing w:before="240"/>
      <w:outlineLvl w:val="0"/>
    </w:pPr>
    <w:rPr>
      <w:rFonts w:ascii="Arial" w:eastAsia="Arial" w:hAnsi="Arial" w:cs="Arial"/>
      <w:b/>
      <w:u w:val="single"/>
    </w:rPr>
  </w:style>
  <w:style w:type="paragraph" w:styleId="Ttulo2">
    <w:name w:val="heading 2"/>
    <w:qFormat/>
    <w:pPr>
      <w:widowControl w:val="0"/>
      <w:spacing w:before="120"/>
      <w:outlineLvl w:val="1"/>
    </w:pPr>
    <w:rPr>
      <w:rFonts w:ascii="Arial" w:eastAsia="Arial" w:hAnsi="Arial" w:cs="Arial"/>
      <w:b/>
    </w:rPr>
  </w:style>
  <w:style w:type="paragraph" w:styleId="Ttulo3">
    <w:name w:val="heading 3"/>
    <w:qFormat/>
    <w:pPr>
      <w:widowControl w:val="0"/>
      <w:ind w:left="354"/>
      <w:outlineLvl w:val="2"/>
    </w:pPr>
    <w:rPr>
      <w:b/>
    </w:rPr>
  </w:style>
  <w:style w:type="paragraph" w:styleId="Ttulo4">
    <w:name w:val="heading 4"/>
    <w:qFormat/>
    <w:pPr>
      <w:keepNext/>
      <w:widowControl w:val="0"/>
      <w:spacing w:before="120"/>
      <w:ind w:left="284"/>
      <w:jc w:val="both"/>
      <w:outlineLvl w:val="3"/>
    </w:pPr>
    <w:rPr>
      <w:b/>
      <w:color w:val="FF0000"/>
      <w:sz w:val="22"/>
    </w:rPr>
  </w:style>
  <w:style w:type="paragraph" w:styleId="Ttulo5">
    <w:name w:val="heading 5"/>
    <w:qFormat/>
    <w:pPr>
      <w:keepNext/>
      <w:widowControl w:val="0"/>
      <w:jc w:val="center"/>
      <w:outlineLvl w:val="4"/>
    </w:pPr>
    <w:rPr>
      <w:b/>
      <w:sz w:val="22"/>
    </w:rPr>
  </w:style>
  <w:style w:type="paragraph" w:styleId="Ttulo6">
    <w:name w:val="heading 6"/>
    <w:qFormat/>
    <w:pPr>
      <w:keepNext/>
      <w:widowControl w:val="0"/>
      <w:spacing w:line="240" w:lineRule="exact"/>
      <w:ind w:right="-144"/>
      <w:outlineLvl w:val="5"/>
    </w:pPr>
    <w:rPr>
      <w:b/>
      <w:sz w:val="16"/>
    </w:rPr>
  </w:style>
  <w:style w:type="paragraph" w:styleId="Ttulo7">
    <w:name w:val="heading 7"/>
    <w:qFormat/>
    <w:pPr>
      <w:keepNext/>
      <w:widowControl w:val="0"/>
      <w:spacing w:line="240" w:lineRule="exact"/>
      <w:ind w:right="-144"/>
      <w:jc w:val="center"/>
      <w:outlineLvl w:val="6"/>
    </w:pPr>
    <w:rPr>
      <w:b/>
      <w:sz w:val="18"/>
    </w:rPr>
  </w:style>
  <w:style w:type="paragraph" w:styleId="Ttulo8">
    <w:name w:val="heading 8"/>
    <w:qFormat/>
    <w:pPr>
      <w:keepNext/>
      <w:widowControl w:val="0"/>
      <w:spacing w:before="120"/>
      <w:ind w:left="851"/>
      <w:jc w:val="both"/>
      <w:outlineLvl w:val="7"/>
    </w:pPr>
    <w:rPr>
      <w:b/>
      <w:sz w:val="22"/>
    </w:rPr>
  </w:style>
  <w:style w:type="paragraph" w:styleId="Ttulo9">
    <w:name w:val="heading 9"/>
    <w:qFormat/>
    <w:pPr>
      <w:keepNext/>
      <w:widowControl w:val="0"/>
      <w:spacing w:before="120"/>
      <w:jc w:val="both"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bCs/>
    </w:rPr>
  </w:style>
  <w:style w:type="character" w:customStyle="1" w:styleId="WW8Num2z1">
    <w:name w:val="WW8Num2z1"/>
    <w:qFormat/>
    <w:rPr>
      <w:rFonts w:ascii="Calibri" w:eastAsia="Calibri" w:hAnsi="Calibri" w:cs="Calibri"/>
      <w:b/>
    </w:rPr>
  </w:style>
  <w:style w:type="character" w:customStyle="1" w:styleId="WW8Num2z2">
    <w:name w:val="WW8Num2z2"/>
    <w:qFormat/>
    <w:rPr>
      <w:rFonts w:ascii="Calibri" w:eastAsia="Calibri" w:hAnsi="Calibri" w:cs="Calibri"/>
      <w:bCs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Times New Roman" w:eastAsia="Times New Roman" w:hAnsi="Times New Roman" w:cs="Times New Roman"/>
      <w:b/>
    </w:rPr>
  </w:style>
  <w:style w:type="character" w:customStyle="1" w:styleId="WW8Num8z1">
    <w:name w:val="WW8Num8z1"/>
    <w:qFormat/>
    <w:rPr>
      <w:rFonts w:ascii="Courier New" w:eastAsia="Courier New" w:hAnsi="Courier New" w:cs="Courier New"/>
    </w:rPr>
  </w:style>
  <w:style w:type="character" w:customStyle="1" w:styleId="WW8Num8z2">
    <w:name w:val="WW8Num8z2"/>
    <w:qFormat/>
    <w:rPr>
      <w:rFonts w:ascii="Wingdings" w:eastAsia="Wingdings" w:hAnsi="Wingdings" w:cs="Wingdings"/>
    </w:rPr>
  </w:style>
  <w:style w:type="character" w:customStyle="1" w:styleId="WW8Num8z3">
    <w:name w:val="WW8Num8z3"/>
    <w:qFormat/>
    <w:rPr>
      <w:rFonts w:ascii="Symbol" w:eastAsia="Symbol" w:hAnsi="Symbol" w:cs="Symbol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7z0">
    <w:name w:val="WW8Num17z0"/>
    <w:qFormat/>
    <w:rPr>
      <w:rFonts w:ascii="Wingdings" w:eastAsia="Wingdings" w:hAnsi="Wingdings" w:cs="Wingdings"/>
      <w:sz w:val="20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7z3">
    <w:name w:val="WW8Num17z3"/>
    <w:qFormat/>
    <w:rPr>
      <w:rFonts w:ascii="Symbol" w:eastAsia="Symbol" w:hAnsi="Symbol" w:cs="Symbol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20z0">
    <w:name w:val="WW8Num20z0"/>
    <w:qFormat/>
    <w:rPr>
      <w:rFonts w:ascii="Symbol" w:eastAsia="Symbol" w:hAnsi="Symbol" w:cs="Symbol"/>
    </w:rPr>
  </w:style>
  <w:style w:type="character" w:customStyle="1" w:styleId="WW8Num21z0">
    <w:name w:val="WW8Num21z0"/>
    <w:qFormat/>
    <w:rPr>
      <w:rFonts w:ascii="Symbol" w:eastAsia="Symbol" w:hAnsi="Symbol" w:cs="Symbol"/>
    </w:rPr>
  </w:style>
  <w:style w:type="character" w:customStyle="1" w:styleId="WW8Num22z0">
    <w:name w:val="WW8Num22z0"/>
    <w:qFormat/>
    <w:rPr>
      <w:rFonts w:ascii="Symbol" w:eastAsia="Symbol" w:hAnsi="Symbol" w:cs="Symbol"/>
    </w:rPr>
  </w:style>
  <w:style w:type="character" w:customStyle="1" w:styleId="WW8Num23z0">
    <w:name w:val="WW8Num23z0"/>
    <w:qFormat/>
    <w:rPr>
      <w:rFonts w:ascii="Symbol" w:eastAsia="Symbol" w:hAnsi="Symbol" w:cs="Symbol"/>
    </w:rPr>
  </w:style>
  <w:style w:type="character" w:customStyle="1" w:styleId="WW8Num24z0">
    <w:name w:val="WW8Num24z0"/>
    <w:qFormat/>
    <w:rPr>
      <w:rFonts w:ascii="Monotype Sorts" w:eastAsia="Monotype Sorts" w:hAnsi="Monotype Sorts" w:cs="Monotype Sorts"/>
    </w:rPr>
  </w:style>
  <w:style w:type="character" w:customStyle="1" w:styleId="WW8Num25z0">
    <w:name w:val="WW8Num25z0"/>
    <w:qFormat/>
    <w:rPr>
      <w:rFonts w:ascii="Symbol" w:eastAsia="Symbol" w:hAnsi="Symbol" w:cs="Symbol"/>
    </w:rPr>
  </w:style>
  <w:style w:type="character" w:customStyle="1" w:styleId="WW8Num28z0">
    <w:name w:val="WW8Num28z0"/>
    <w:qFormat/>
    <w:rPr>
      <w:rFonts w:ascii="Symbol" w:eastAsia="Symbol" w:hAnsi="Symbol" w:cs="Symbol"/>
    </w:rPr>
  </w:style>
  <w:style w:type="character" w:customStyle="1" w:styleId="WW8Num29z0">
    <w:name w:val="WW8Num29z0"/>
    <w:qFormat/>
    <w:rPr>
      <w:rFonts w:ascii="Symbol" w:eastAsia="Symbol" w:hAnsi="Symbol" w:cs="Symbol"/>
    </w:rPr>
  </w:style>
  <w:style w:type="character" w:customStyle="1" w:styleId="WW8NumSt1z0">
    <w:name w:val="WW8NumSt1z0"/>
    <w:qFormat/>
    <w:rPr>
      <w:rFonts w:ascii="Symbol" w:eastAsia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VisitedInternetLink">
    <w:name w:val="Visited Internet Link"/>
    <w:qFormat/>
    <w:rPr>
      <w:color w:val="800080"/>
      <w:u w:val="single"/>
    </w:rPr>
  </w:style>
  <w:style w:type="character" w:customStyle="1" w:styleId="Smbolosdenumerao">
    <w:name w:val="Símbolos de numeração"/>
    <w:qFormat/>
  </w:style>
  <w:style w:type="character" w:customStyle="1" w:styleId="TextodebaloChar">
    <w:name w:val="Texto de balão Char"/>
    <w:basedOn w:val="Fontepargpadro"/>
    <w:qFormat/>
    <w:rPr>
      <w:rFonts w:ascii="Segoe UI" w:hAnsi="Segoe UI"/>
      <w:sz w:val="18"/>
      <w:szCs w:val="16"/>
    </w:rPr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RodapChar">
    <w:name w:val="Rodapé Char"/>
    <w:qFormat/>
    <w:rPr>
      <w:rFonts w:ascii="Times New Roman" w:eastAsia="Times New Roman" w:hAnsi="Times New Roman" w:cs="Times New Roman"/>
      <w:sz w:val="20"/>
      <w:szCs w:val="20"/>
      <w:lang w:val="pt-PT" w:bidi="ar-SA"/>
    </w:rPr>
  </w:style>
  <w:style w:type="character" w:customStyle="1" w:styleId="ListLabel1">
    <w:name w:val="ListLabel 1"/>
    <w:qFormat/>
    <w:rPr>
      <w:rFonts w:ascii="Calibri" w:hAnsi="Calibri"/>
      <w:b/>
      <w:bCs/>
    </w:rPr>
  </w:style>
  <w:style w:type="character" w:customStyle="1" w:styleId="ListLabel2">
    <w:name w:val="ListLabel 2"/>
    <w:qFormat/>
    <w:rPr>
      <w:rFonts w:ascii="Calibri" w:hAnsi="Calibri" w:cs="Calibri"/>
      <w:b/>
    </w:rPr>
  </w:style>
  <w:style w:type="character" w:customStyle="1" w:styleId="ListLabel3">
    <w:name w:val="ListLabel 3"/>
    <w:qFormat/>
    <w:rPr>
      <w:rFonts w:cs="Calibri"/>
      <w:bCs/>
    </w:rPr>
  </w:style>
  <w:style w:type="character" w:customStyle="1" w:styleId="ListLabel4">
    <w:name w:val="ListLabel 4"/>
    <w:qFormat/>
    <w:rPr>
      <w:rFonts w:ascii="Calibri" w:hAnsi="Calibri"/>
      <w:b/>
      <w:bCs/>
    </w:rPr>
  </w:style>
  <w:style w:type="character" w:customStyle="1" w:styleId="ListLabel5">
    <w:name w:val="ListLabel 5"/>
    <w:qFormat/>
    <w:rPr>
      <w:rFonts w:cs="Calibri"/>
      <w:b/>
    </w:rPr>
  </w:style>
  <w:style w:type="character" w:customStyle="1" w:styleId="ListLabel6">
    <w:name w:val="ListLabel 6"/>
    <w:qFormat/>
    <w:rPr>
      <w:rFonts w:cs="Calibri"/>
      <w:bCs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Ttulo10">
    <w:name w:val="Título1"/>
    <w:basedOn w:val="Standard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suppressAutoHyphens/>
    </w:pPr>
    <w:rPr>
      <w:rFonts w:ascii="Times New Roman" w:eastAsia="Times New Roman" w:hAnsi="Times New Roman" w:cs="Times New Roman"/>
      <w:sz w:val="20"/>
      <w:szCs w:val="20"/>
      <w:lang w:val="pt-PT" w:bidi="ar-SA"/>
    </w:rPr>
  </w:style>
  <w:style w:type="paragraph" w:customStyle="1" w:styleId="Textbody">
    <w:name w:val="Text body"/>
    <w:basedOn w:val="Standard"/>
    <w:qFormat/>
    <w:rPr>
      <w:rFonts w:ascii="Arial" w:eastAsia="Arial" w:hAnsi="Arial" w:cs="Arial"/>
      <w:sz w:val="12"/>
      <w:lang w:val="pt-BR"/>
    </w:rPr>
  </w:style>
  <w:style w:type="paragraph" w:styleId="Recuonormal">
    <w:name w:val="Normal Indent"/>
    <w:basedOn w:val="Standard"/>
    <w:qFormat/>
    <w:pPr>
      <w:ind w:left="708"/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Textbodyindent">
    <w:name w:val="Text body indent"/>
    <w:basedOn w:val="Standard"/>
    <w:qFormat/>
    <w:pPr>
      <w:spacing w:before="120"/>
      <w:ind w:left="567"/>
      <w:jc w:val="both"/>
    </w:pPr>
    <w:rPr>
      <w:color w:val="000000"/>
      <w:sz w:val="22"/>
    </w:rPr>
  </w:style>
  <w:style w:type="paragraph" w:styleId="Recuodecorpodetexto2">
    <w:name w:val="Body Text Indent 2"/>
    <w:basedOn w:val="Standard"/>
    <w:qFormat/>
    <w:pPr>
      <w:spacing w:before="120"/>
      <w:ind w:left="284"/>
      <w:jc w:val="both"/>
    </w:pPr>
    <w:rPr>
      <w:sz w:val="22"/>
    </w:rPr>
  </w:style>
  <w:style w:type="paragraph" w:styleId="Recuodecorpodetexto3">
    <w:name w:val="Body Text Indent 3"/>
    <w:basedOn w:val="Standard"/>
    <w:qFormat/>
    <w:pPr>
      <w:spacing w:before="120"/>
      <w:ind w:left="567"/>
      <w:jc w:val="both"/>
    </w:pPr>
    <w:rPr>
      <w:sz w:val="22"/>
    </w:rPr>
  </w:style>
  <w:style w:type="paragraph" w:styleId="Corpodetexto3">
    <w:name w:val="Body Text 3"/>
    <w:basedOn w:val="Standard"/>
    <w:qFormat/>
    <w:pPr>
      <w:spacing w:before="60" w:after="60"/>
    </w:pPr>
    <w:rPr>
      <w:rFonts w:ascii="Arial" w:eastAsia="Arial" w:hAnsi="Arial" w:cs="Arial"/>
      <w:color w:val="FF0000"/>
      <w:lang w:val="pt-BR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qFormat/>
    <w:rPr>
      <w:rFonts w:ascii="Segoe UI" w:hAnsi="Segoe UI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ntanderempresarial.com.br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itau.com.br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755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Elisabete Yosimura</dc:creator>
  <dc:description/>
  <cp:lastModifiedBy>MARIA LUCINEIDE FERREIRA DA SILVA</cp:lastModifiedBy>
  <cp:revision>11</cp:revision>
  <cp:lastPrinted>2019-09-04T19:08:00Z</cp:lastPrinted>
  <dcterms:created xsi:type="dcterms:W3CDTF">2017-02-27T15:17:00Z</dcterms:created>
  <dcterms:modified xsi:type="dcterms:W3CDTF">2019-09-04T19:08:00Z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