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Case — 48 Lot Land Subdivision</w:t>
      </w:r>
    </w:p>
    <w:p>
      <w:r>
        <w:t>181 Torrens Road, 85 River Drive &amp; 3-7 Dorset Drive, Caboolture South, QLD 4510</w:t>
      </w:r>
    </w:p>
    <w:p>
      <w:r>
        <w:t>Original report prepared 14 May 2026 by Scott Purcell. Updated 11 June 2026 to reflect the finalised Development Application package and the Draft Loan Agreement.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Contact</w:t>
            </w:r>
          </w:p>
        </w:tc>
        <w:tc>
          <w:tcPr>
            <w:tcW w:type="dxa" w:w="4320"/>
          </w:tcPr>
          <w:p>
            <w:r>
              <w:rPr>
                <w:b/>
              </w:rPr>
            </w:r>
          </w:p>
        </w:tc>
      </w:tr>
      <w:tr>
        <w:tc>
          <w:tcPr>
            <w:tcW w:type="dxa" w:w="4320"/>
          </w:tcPr>
          <w:p>
            <w:r>
              <w:t>Mr Shane Edwards — Director, Pembroke Construction</w:t>
            </w:r>
          </w:p>
        </w:tc>
        <w:tc>
          <w:tcPr>
            <w:tcW w:type="dxa" w:w="4320"/>
          </w:tcPr>
          <w:p>
            <w:r>
              <w:t>0470 246 375 · shane@pembc.com.au</w:t>
            </w:r>
          </w:p>
        </w:tc>
      </w:tr>
      <w:tr>
        <w:tc>
          <w:tcPr>
            <w:tcW w:type="dxa" w:w="4320"/>
          </w:tcPr>
          <w:p>
            <w:r>
              <w:t>Mr Scott Purcell — Site Acquisition Manager, Pembroke Construction</w:t>
            </w:r>
          </w:p>
        </w:tc>
        <w:tc>
          <w:tcPr>
            <w:tcW w:type="dxa" w:w="4320"/>
          </w:tcPr>
          <w:p>
            <w:r>
              <w:t>0415 163 644 · scott@pembc.com.au</w:t>
            </w:r>
          </w:p>
        </w:tc>
      </w:tr>
    </w:tbl>
    <w:p>
      <w:r>
        <w:rPr>
          <w:i/>
        </w:rPr>
        <w:t>What changed in this revision. This version updates the 14 May 2026 business case for the development information finalised in late May/early June 2026: the Town Planning Report (Steffan Harries, Final, 3 June 2026), the Concept Civil Engineering, Stormwater and Flood reports (Bravo Consult, 1 June 2026), the Traffic/Structure Planning advice (Modus), DA Form 1, and the Draft Loan Agreement. The feasibility totals (cost, revenue, profit, ROI) are carried forward unchanged pending a refreshed feasibility — see Funding &amp; Financing and the accompanying Review Notes for items that should be reconciled before the document is issued to investors.</w:t>
      </w:r>
    </w:p>
    <w:p>
      <w:pPr>
        <w:pStyle w:val="Heading1"/>
      </w:pPr>
      <w:r>
        <w:t>Property details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181 Torrens Road</w:t>
            </w:r>
          </w:p>
        </w:tc>
        <w:tc>
          <w:tcPr>
            <w:tcW w:type="dxa" w:w="2160"/>
          </w:tcPr>
          <w:p>
            <w:r>
              <w:rPr>
                <w:b/>
              </w:rPr>
              <w:t>85 River Drive</w:t>
            </w:r>
          </w:p>
        </w:tc>
        <w:tc>
          <w:tcPr>
            <w:tcW w:type="dxa" w:w="2160"/>
          </w:tcPr>
          <w:p>
            <w:r>
              <w:rPr>
                <w:b/>
              </w:rPr>
              <w:t>3-7 Dorset Drive</w:t>
            </w:r>
          </w:p>
        </w:tc>
      </w:tr>
      <w:tr>
        <w:tc>
          <w:tcPr>
            <w:tcW w:type="dxa" w:w="2160"/>
          </w:tcPr>
          <w:p>
            <w:r>
              <w:t>Local Authority</w:t>
            </w:r>
          </w:p>
        </w:tc>
        <w:tc>
          <w:tcPr>
            <w:tcW w:type="dxa" w:w="2160"/>
          </w:tcPr>
          <w:p>
            <w:r>
              <w:t>Moreton Bay City Council</w:t>
            </w:r>
          </w:p>
        </w:tc>
        <w:tc>
          <w:tcPr>
            <w:tcW w:type="dxa" w:w="2160"/>
          </w:tcPr>
          <w:p>
            <w:r>
              <w:t>Moreton Bay City Council</w:t>
            </w:r>
          </w:p>
        </w:tc>
        <w:tc>
          <w:tcPr>
            <w:tcW w:type="dxa" w:w="2160"/>
          </w:tcPr>
          <w:p>
            <w:r>
              <w:t>Moreton Bay City Council</w:t>
            </w:r>
          </w:p>
        </w:tc>
      </w:tr>
      <w:tr>
        <w:tc>
          <w:tcPr>
            <w:tcW w:type="dxa" w:w="2160"/>
          </w:tcPr>
          <w:p>
            <w:r>
              <w:t>Land area</w:t>
            </w:r>
          </w:p>
        </w:tc>
        <w:tc>
          <w:tcPr>
            <w:tcW w:type="dxa" w:w="2160"/>
          </w:tcPr>
          <w:p>
            <w:r>
              <w:t>13,380 m²</w:t>
            </w:r>
          </w:p>
        </w:tc>
        <w:tc>
          <w:tcPr>
            <w:tcW w:type="dxa" w:w="2160"/>
          </w:tcPr>
          <w:p>
            <w:r>
              <w:t>6,710 m²</w:t>
            </w:r>
          </w:p>
        </w:tc>
        <w:tc>
          <w:tcPr>
            <w:tcW w:type="dxa" w:w="2160"/>
          </w:tcPr>
          <w:p>
            <w:r>
              <w:t>3,243 m²</w:t>
            </w:r>
          </w:p>
        </w:tc>
      </w:tr>
      <w:tr>
        <w:tc>
          <w:tcPr>
            <w:tcW w:type="dxa" w:w="2160"/>
          </w:tcPr>
          <w:p>
            <w:r>
              <w:t>Description</w:t>
            </w:r>
          </w:p>
        </w:tc>
        <w:tc>
          <w:tcPr>
            <w:tcW w:type="dxa" w:w="2160"/>
          </w:tcPr>
          <w:p>
            <w:r>
              <w:t>L18 RP863675</w:t>
            </w:r>
          </w:p>
        </w:tc>
        <w:tc>
          <w:tcPr>
            <w:tcW w:type="dxa" w:w="2160"/>
          </w:tcPr>
          <w:p>
            <w:r>
              <w:t>L91 RP826466</w:t>
            </w:r>
          </w:p>
        </w:tc>
        <w:tc>
          <w:tcPr>
            <w:tcW w:type="dxa" w:w="2160"/>
          </w:tcPr>
          <w:p>
            <w:r>
              <w:t>L69 RP848695</w:t>
            </w:r>
          </w:p>
        </w:tc>
      </w:tr>
      <w:tr>
        <w:tc>
          <w:tcPr>
            <w:tcW w:type="dxa" w:w="2160"/>
          </w:tcPr>
          <w:p>
            <w:r>
              <w:t>Tenure</w:t>
            </w:r>
          </w:p>
        </w:tc>
        <w:tc>
          <w:tcPr>
            <w:tcW w:type="dxa" w:w="2160"/>
          </w:tcPr>
          <w:p>
            <w:r>
              <w:t>Freehold</w:t>
            </w:r>
          </w:p>
        </w:tc>
        <w:tc>
          <w:tcPr>
            <w:tcW w:type="dxa" w:w="2160"/>
          </w:tcPr>
          <w:p>
            <w:r>
              <w:t>Freehold</w:t>
            </w:r>
          </w:p>
        </w:tc>
        <w:tc>
          <w:tcPr>
            <w:tcW w:type="dxa" w:w="2160"/>
          </w:tcPr>
          <w:p>
            <w:r>
              <w:t>Freehold</w:t>
            </w:r>
          </w:p>
        </w:tc>
      </w:tr>
      <w:tr>
        <w:tc>
          <w:tcPr>
            <w:tcW w:type="dxa" w:w="2160"/>
          </w:tcPr>
          <w:p>
            <w:r>
              <w:t>Zoning</w:t>
            </w:r>
          </w:p>
        </w:tc>
        <w:tc>
          <w:tcPr>
            <w:tcW w:type="dxa" w:w="2160"/>
          </w:tcPr>
          <w:p>
            <w:r>
              <w:t>General Residential – Next Generation Neighbourhood</w:t>
            </w:r>
          </w:p>
        </w:tc>
        <w:tc>
          <w:tcPr>
            <w:tcW w:type="dxa" w:w="2160"/>
          </w:tcPr>
          <w:p>
            <w:r>
              <w:t>as left</w:t>
            </w:r>
          </w:p>
        </w:tc>
        <w:tc>
          <w:tcPr>
            <w:tcW w:type="dxa" w:w="2160"/>
          </w:tcPr>
          <w:p>
            <w:r>
              <w:t>as left</w:t>
            </w:r>
          </w:p>
        </w:tc>
      </w:tr>
    </w:tbl>
    <w:p>
      <w:r>
        <w:t>Combined site area: 23,333 m².</w:t>
      </w:r>
    </w:p>
    <w:p>
      <w:pPr>
        <w:pStyle w:val="Heading1"/>
      </w:pPr>
      <w:r>
        <w:t>Executive Summary</w:t>
      </w:r>
    </w:p>
    <w:p>
      <w:r>
        <w:t>Pembroke Construction and associated entities are seeking investment to deliver a 48-lot residential land subdivision at Caboolture South, Queensland. The project consolidates three adjoining freehold parcels (181 Torrens Road, 85 River Drive and 3-7 Dorset Drive) within Moreton Bay City Council's Next Generation Neighbourhood Precinct — a designated infill growth area approximately 50 kilometres north of Brisbane CBD. All three sites are under contract, with settlements scheduled between May 2026 and March 2027.</w:t>
      </w:r>
    </w:p>
    <w:p>
      <w:r>
        <w:t>A constructive Prelodgement Meeting was held with Council on 28 January 2026 (Council reference DA/2026/0091). Following that meeting and subsequent traffic engineering, the proposal was redesigned to consolidate the third parcel (3-7 Dorset Drive) and to take access from Dorset Drive. The Development Application has now been finalised for lodgement as a Code Assessable Reconfiguring a Lot (3 into 48 lots on a Community Titles Scheme), including a private road and access easement, supported by a full suite of technical reports (planning, civil, stormwater, flood, traffic and landscape).</w:t>
      </w:r>
    </w:p>
    <w:p>
      <w:pPr>
        <w:pStyle w:val="Heading2"/>
      </w:pPr>
      <w:r>
        <w:t>Key investment metrics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saleable lots</w:t>
            </w:r>
          </w:p>
        </w:tc>
        <w:tc>
          <w:tcPr>
            <w:tcW w:type="dxa" w:w="4320"/>
          </w:tcPr>
          <w:p>
            <w:r>
              <w:t>48</w:t>
            </w:r>
          </w:p>
        </w:tc>
      </w:tr>
      <w:tr>
        <w:tc>
          <w:tcPr>
            <w:tcW w:type="dxa" w:w="4320"/>
          </w:tcPr>
          <w:p>
            <w:r>
              <w:t>Combined land area / net developable area</w:t>
            </w:r>
          </w:p>
        </w:tc>
        <w:tc>
          <w:tcPr>
            <w:tcW w:type="dxa" w:w="4320"/>
          </w:tcPr>
          <w:p>
            <w:r>
              <w:t>23,333 m² / 20,149 m² (2.01 ha)</w:t>
            </w:r>
          </w:p>
        </w:tc>
      </w:tr>
      <w:tr>
        <w:tc>
          <w:tcPr>
            <w:tcW w:type="dxa" w:w="4320"/>
          </w:tcPr>
          <w:p>
            <w:r>
              <w:t>Net residential density</w:t>
            </w:r>
          </w:p>
        </w:tc>
        <w:tc>
          <w:tcPr>
            <w:tcW w:type="dxa" w:w="4320"/>
          </w:tcPr>
          <w:p>
            <w:r>
              <w:t>23.8 lots/ha (within the 10–25 lot/ha precinct range)</w:t>
            </w:r>
          </w:p>
        </w:tc>
      </w:tr>
      <w:tr>
        <w:tc>
          <w:tcPr>
            <w:tcW w:type="dxa" w:w="4320"/>
          </w:tcPr>
          <w:p>
            <w:r>
              <w:t>Total development cost (incl. acquisition)</w:t>
            </w:r>
          </w:p>
        </w:tc>
        <w:tc>
          <w:tcPr>
            <w:tcW w:type="dxa" w:w="4320"/>
          </w:tcPr>
          <w:p>
            <w:r>
              <w:t>$17,852,937</w:t>
            </w:r>
          </w:p>
        </w:tc>
      </w:tr>
      <w:tr>
        <w:tc>
          <w:tcPr>
            <w:tcW w:type="dxa" w:w="4320"/>
          </w:tcPr>
          <w:p>
            <w:r>
              <w:t>Gross realised value — forecast pricing</w:t>
            </w:r>
          </w:p>
        </w:tc>
        <w:tc>
          <w:tcPr>
            <w:tcW w:type="dxa" w:w="4320"/>
          </w:tcPr>
          <w:p>
            <w:r>
              <w:t>$24,395,390</w:t>
            </w:r>
          </w:p>
        </w:tc>
      </w:tr>
      <w:tr>
        <w:tc>
          <w:tcPr>
            <w:tcW w:type="dxa" w:w="4320"/>
          </w:tcPr>
          <w:p>
            <w:r>
              <w:t>Projected profit (forecast)</w:t>
            </w:r>
          </w:p>
        </w:tc>
        <w:tc>
          <w:tcPr>
            <w:tcW w:type="dxa" w:w="4320"/>
          </w:tcPr>
          <w:p>
            <w:r>
              <w:t>$5,510,969</w:t>
            </w:r>
          </w:p>
        </w:tc>
      </w:tr>
      <w:tr>
        <w:tc>
          <w:tcPr>
            <w:tcW w:type="dxa" w:w="4320"/>
          </w:tcPr>
          <w:p>
            <w:r>
              <w:t>Return on investment (forecast)</w:t>
            </w:r>
          </w:p>
        </w:tc>
        <w:tc>
          <w:tcPr>
            <w:tcW w:type="dxa" w:w="4320"/>
          </w:tcPr>
          <w:p>
            <w:r>
              <w:t>31.81%</w:t>
            </w:r>
          </w:p>
        </w:tc>
      </w:tr>
      <w:tr>
        <w:tc>
          <w:tcPr>
            <w:tcW w:type="dxa" w:w="4320"/>
          </w:tcPr>
          <w:p>
            <w:r>
              <w:t>Return on investment (conservative, −5%)</w:t>
            </w:r>
          </w:p>
        </w:tc>
        <w:tc>
          <w:tcPr>
            <w:tcW w:type="dxa" w:w="4320"/>
          </w:tcPr>
          <w:p>
            <w:r>
              <w:t>25.65%</w:t>
            </w:r>
          </w:p>
        </w:tc>
      </w:tr>
      <w:tr>
        <w:tc>
          <w:tcPr>
            <w:tcW w:type="dxa" w:w="4320"/>
          </w:tcPr>
          <w:p>
            <w:r>
              <w:t>Forecast duration (DA submission to sales completion)</w:t>
            </w:r>
          </w:p>
        </w:tc>
        <w:tc>
          <w:tcPr>
            <w:tcW w:type="dxa" w:w="4320"/>
          </w:tcPr>
          <w:p>
            <w:r>
              <w:t>~24 months (May 2026 – May 2028)</w:t>
            </w:r>
          </w:p>
        </w:tc>
      </w:tr>
    </w:tbl>
    <w:p>
      <w:r>
        <w:rPr>
          <w:i/>
        </w:rPr>
        <w:t>The cost, revenue, profit and ROI figures above are carried forward from the 14 May 2026 feasibility. They should be reconciled against the now-known financing terms (a $1.4m facility at 20% p.a. pre-DA / 15% p.a. post-DA) and the House &amp; Land Package sales structure before issue — see Funding &amp; Financing and Sales Guidance.</w:t>
      </w:r>
    </w:p>
    <w:p>
      <w:r>
        <w:t>The investment proposition rests on:</w:t>
      </w:r>
    </w:p>
    <w:p>
      <w:pPr>
        <w:pStyle w:val="ListBullet"/>
      </w:pPr>
      <w:r>
        <w:t>a strategically located infill site within an established Council growth precinct;</w:t>
      </w:r>
    </w:p>
    <w:p>
      <w:pPr>
        <w:pStyle w:val="ListBullet"/>
      </w:pPr>
      <w:r>
        <w:t>an advanced planning position — a full DA package lodged off the back of early Council engagement, with the access issue resolved through acquisition of the third parcel;</w:t>
      </w:r>
    </w:p>
    <w:p>
      <w:pPr>
        <w:pStyle w:val="ListBullet"/>
      </w:pPr>
      <w:r>
        <w:t>vertically integrated civil delivery through Pembroke Construction's in-house capability; and</w:t>
      </w:r>
    </w:p>
    <w:p>
      <w:pPr>
        <w:pStyle w:val="ListBullet"/>
      </w:pPr>
      <w:r>
        <w:t>a margin that, on the current feasibility, is retained under a conservative pricing scenario.</w:t>
      </w:r>
    </w:p>
    <w:p>
      <w:r>
        <w:t>The proposal does rely on performance-based planning arguments for two matters (narrow-lot concentration and the omission of the indicative Figure 6 road link) and is exposed to Council's pending updated flood modelling; both are addressed in Site Overlays and Risk Analysis.</w:t>
      </w:r>
    </w:p>
    <w:p>
      <w:pPr>
        <w:pStyle w:val="Heading1"/>
      </w:pPr>
      <w:r>
        <w:t>Introduction</w:t>
      </w:r>
    </w:p>
    <w:p>
      <w:r>
        <w:t>This business case presents the investment opportunity for a 48-lot residential land subdivision spanning three adjoining parcels at 181 Torrens Road, 85 River Drive and 3-7 Dorset Drive, Caboolture South, Queensland. It sets out the project rationale, projected returns, development timeline, financing structure and the risk framework applied to test the project's resilience.</w:t>
      </w:r>
    </w:p>
    <w:p>
      <w:r>
        <w:t>Cost estimates incorporate all material expenditure categories — land acquisition and stamp duty, holding and financing costs, consultant and statutory approval fees, civil and electrical construction, plan sealing, and sales and marketing — based on the consolidated feasibility study.</w:t>
      </w:r>
    </w:p>
    <w:p>
      <w:r>
        <w:t>The analysis is supported by the finalised Development Application package, comprising the Town Planning Report and Appendices A–I, DA Form 1 and Land Owners' Consent (listed at the end of this document).</w:t>
      </w:r>
    </w:p>
    <w:p>
      <w:pPr>
        <w:pStyle w:val="Heading1"/>
      </w:pPr>
      <w:r>
        <w:t>Deal Overview</w:t>
      </w:r>
    </w:p>
    <w:p>
      <w:r>
        <w:t>The project consolidates three adjoining freehold sites totalling 23,333 m² under a single Community Titles Scheme (CTS) to deliver 48 residential allotments within the Next Generation Neighbourhood Precinct. All three parcels are under contract, with settlements scheduled between May 2026 and March 2027.</w:t>
      </w:r>
    </w:p>
    <w:p>
      <w:r>
        <w:t>The Development Application has been finalised for lodgement (Code Assessable Reconfiguring a Lot, 3 into 48 lots on a CTS, including a private road and access easement), informed by the Prelodgement Meeting held with Council on 28 January 2026 (DA/2026/0091).</w:t>
      </w:r>
    </w:p>
    <w:p>
      <w:r>
        <w:t>Total development cost, inclusive of acquisition and all soft and hard costs, is forecast at ~$17.9m. Gross realised value under forecast pricing is ~$24.4m, producing a projected profit of $5.5m (net of GST) and a return on investment of 31.81%. Under a conservative pricing scenario, the project retains an ROI in excess of 25%.</w:t>
      </w:r>
    </w:p>
    <w:p>
      <w:r>
        <w:t>Key features of the opportunity:</w:t>
      </w:r>
    </w:p>
    <w:p>
      <w:pPr>
        <w:pStyle w:val="ListBullet"/>
      </w:pPr>
      <w:r>
        <w:t>A concept plan aligned with Council's structure-plan intent, validated through the Prelodgement process and a subsequent structure-planning / traffic exercise.</w:t>
      </w:r>
    </w:p>
    <w:p>
      <w:pPr>
        <w:pStyle w:val="ListBullet"/>
      </w:pPr>
      <w:r>
        <w:t>Access resolved via Dorset Drive. Council does not support direct access onto Torrens Road or River Drive (now signalised). A new private road connects to Dorset Drive — the option independently preferred by the traffic engineers.</w:t>
      </w:r>
    </w:p>
    <w:p>
      <w:pPr>
        <w:pStyle w:val="ListBullet"/>
      </w:pPr>
      <w:r>
        <w:t>A lawful point of discharge for stormwater, via the existing Council drainage easement supplemented by four engineered on-site detention (OSD) tanks draining to the creek.</w:t>
      </w:r>
    </w:p>
    <w:p>
      <w:pPr>
        <w:pStyle w:val="ListBullet"/>
      </w:pPr>
      <w:r>
        <w:t>A trunk sewer connection located on site within 3-7 Dorset Drive.</w:t>
      </w:r>
    </w:p>
    <w:p>
      <w:pPr>
        <w:pStyle w:val="ListBullet"/>
      </w:pPr>
      <w:r>
        <w:t>In-house civil construction delivery by Pembroke Construction.</w:t>
      </w:r>
    </w:p>
    <w:p>
      <w:pPr>
        <w:pStyle w:val="ListBullet"/>
      </w:pPr>
      <w:r>
        <w:t>Established town-planning representation (Steffan Harries) with extensive Moreton Bay City Council experience.</w:t>
      </w:r>
    </w:p>
    <w:p>
      <w:pPr>
        <w:pStyle w:val="Heading1"/>
      </w:pPr>
      <w:r>
        <w:t>Cost of Development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Detail</w:t>
            </w:r>
          </w:p>
        </w:tc>
        <w:tc>
          <w:tcPr>
            <w:tcW w:type="dxa" w:w="2880"/>
          </w:tcPr>
          <w:p>
            <w:r>
              <w:rPr>
                <w:b/>
              </w:rPr>
              <w:t>Amount</w:t>
            </w:r>
          </w:p>
        </w:tc>
      </w:tr>
      <w:tr>
        <w:tc>
          <w:tcPr>
            <w:tcW w:type="dxa" w:w="2880"/>
          </w:tcPr>
          <w:p>
            <w:r>
              <w:t>Cost to Buy Land</w:t>
            </w:r>
          </w:p>
        </w:tc>
        <w:tc>
          <w:tcPr>
            <w:tcW w:type="dxa" w:w="2880"/>
          </w:tcPr>
          <w:p>
            <w:r>
              <w:t>Land price, stamp duty, conveyancing etc.</w:t>
            </w:r>
          </w:p>
        </w:tc>
        <w:tc>
          <w:tcPr>
            <w:tcW w:type="dxa" w:w="2880"/>
          </w:tcPr>
          <w:p>
            <w:r>
              <w:t>$7,638,318</w:t>
            </w:r>
          </w:p>
        </w:tc>
      </w:tr>
      <w:tr>
        <w:tc>
          <w:tcPr>
            <w:tcW w:type="dxa" w:w="2880"/>
          </w:tcPr>
          <w:p>
            <w:r>
              <w:t>Holding Costs</w:t>
            </w:r>
          </w:p>
        </w:tc>
        <w:tc>
          <w:tcPr>
            <w:tcW w:type="dxa" w:w="2880"/>
          </w:tcPr>
          <w:p>
            <w:r>
              <w:t>Borrowing costs, rates</w:t>
            </w:r>
          </w:p>
        </w:tc>
        <w:tc>
          <w:tcPr>
            <w:tcW w:type="dxa" w:w="2880"/>
          </w:tcPr>
          <w:p>
            <w:r>
              <w:t>$2,459,951</w:t>
            </w:r>
          </w:p>
        </w:tc>
      </w:tr>
      <w:tr>
        <w:tc>
          <w:tcPr>
            <w:tcW w:type="dxa" w:w="2880"/>
          </w:tcPr>
          <w:p>
            <w:r>
              <w:t>Development Approval</w:t>
            </w:r>
          </w:p>
        </w:tc>
        <w:tc>
          <w:tcPr>
            <w:tcW w:type="dxa" w:w="2880"/>
          </w:tcPr>
          <w:p>
            <w:r>
              <w:t>RAL fee, reports, ecologist, surveyors, civil engineers</w:t>
            </w:r>
          </w:p>
        </w:tc>
        <w:tc>
          <w:tcPr>
            <w:tcW w:type="dxa" w:w="2880"/>
          </w:tcPr>
          <w:p>
            <w:r>
              <w:t>$149,235</w:t>
            </w:r>
          </w:p>
        </w:tc>
      </w:tr>
      <w:tr>
        <w:tc>
          <w:tcPr>
            <w:tcW w:type="dxa" w:w="2880"/>
          </w:tcPr>
          <w:p>
            <w:r>
              <w:t>Operational Works Approval</w:t>
            </w:r>
          </w:p>
        </w:tc>
        <w:tc>
          <w:tcPr>
            <w:tcW w:type="dxa" w:w="2880"/>
          </w:tcPr>
          <w:p>
            <w:r>
              <w:t>Reconfigure lot, operational works, Council fees</w:t>
            </w:r>
          </w:p>
        </w:tc>
        <w:tc>
          <w:tcPr>
            <w:tcW w:type="dxa" w:w="2880"/>
          </w:tcPr>
          <w:p>
            <w:r>
              <w:t>$1,675,638</w:t>
            </w:r>
          </w:p>
        </w:tc>
      </w:tr>
      <w:tr>
        <w:tc>
          <w:tcPr>
            <w:tcW w:type="dxa" w:w="2880"/>
          </w:tcPr>
          <w:p>
            <w:r>
              <w:t>Compliance &amp; Inspection / QUU Fees</w:t>
            </w:r>
          </w:p>
        </w:tc>
        <w:tc>
          <w:tcPr>
            <w:tcW w:type="dxa" w:w="2880"/>
          </w:tcPr>
          <w:p>
            <w:r>
              <w:t>Access easement, all lots, surveys &amp; designs</w:t>
            </w:r>
          </w:p>
        </w:tc>
        <w:tc>
          <w:tcPr>
            <w:tcW w:type="dxa" w:w="2880"/>
          </w:tcPr>
          <w:p>
            <w:r>
              <w:t>$399,539</w:t>
            </w:r>
          </w:p>
        </w:tc>
      </w:tr>
      <w:tr>
        <w:tc>
          <w:tcPr>
            <w:tcW w:type="dxa" w:w="2880"/>
          </w:tcPr>
          <w:p>
            <w:r>
              <w:t>Electrical</w:t>
            </w:r>
          </w:p>
        </w:tc>
        <w:tc>
          <w:tcPr>
            <w:tcW w:type="dxa" w:w="2880"/>
          </w:tcPr>
          <w:p>
            <w:r>
              <w:t>Design and construction</w:t>
            </w:r>
          </w:p>
        </w:tc>
        <w:tc>
          <w:tcPr>
            <w:tcW w:type="dxa" w:w="2880"/>
          </w:tcPr>
          <w:p>
            <w:r>
              <w:t>$369,600</w:t>
            </w:r>
          </w:p>
        </w:tc>
      </w:tr>
      <w:tr>
        <w:tc>
          <w:tcPr>
            <w:tcW w:type="dxa" w:w="2880"/>
          </w:tcPr>
          <w:p>
            <w:r>
              <w:t>Construction Costs</w:t>
            </w:r>
          </w:p>
        </w:tc>
        <w:tc>
          <w:tcPr>
            <w:tcW w:type="dxa" w:w="2880"/>
          </w:tcPr>
          <w:p>
            <w:r>
              <w:t>Civil</w:t>
            </w:r>
          </w:p>
        </w:tc>
        <w:tc>
          <w:tcPr>
            <w:tcW w:type="dxa" w:w="2880"/>
          </w:tcPr>
          <w:p>
            <w:r>
              <w:t>$4,224,880</w:t>
            </w:r>
          </w:p>
        </w:tc>
      </w:tr>
      <w:tr>
        <w:tc>
          <w:tcPr>
            <w:tcW w:type="dxa" w:w="2880"/>
          </w:tcPr>
          <w:p>
            <w:r>
              <w:t>Plan Sealing</w:t>
            </w:r>
          </w:p>
        </w:tc>
        <w:tc>
          <w:tcPr>
            <w:tcW w:type="dxa" w:w="2880"/>
          </w:tcPr>
          <w:p>
            <w:r>
              <w:t>Surveys, title deeds, pegging</w:t>
            </w:r>
          </w:p>
        </w:tc>
        <w:tc>
          <w:tcPr>
            <w:tcW w:type="dxa" w:w="2880"/>
          </w:tcPr>
          <w:p>
            <w:r>
              <w:t>$140,554</w:t>
            </w:r>
          </w:p>
        </w:tc>
      </w:tr>
      <w:tr>
        <w:tc>
          <w:tcPr>
            <w:tcW w:type="dxa" w:w="2880"/>
          </w:tcPr>
          <w:p>
            <w:r>
              <w:t>Sale Costs</w:t>
            </w:r>
          </w:p>
        </w:tc>
        <w:tc>
          <w:tcPr>
            <w:tcW w:type="dxa" w:w="2880"/>
          </w:tcPr>
          <w:p>
            <w:r>
              <w:t>Agents, conveyancing</w:t>
            </w:r>
          </w:p>
        </w:tc>
        <w:tc>
          <w:tcPr>
            <w:tcW w:type="dxa" w:w="2880"/>
          </w:tcPr>
          <w:p>
            <w:r>
              <w:t>$795,222</w:t>
            </w:r>
          </w:p>
        </w:tc>
      </w:tr>
      <w:tr>
        <w:tc>
          <w:tcPr>
            <w:tcW w:type="dxa" w:w="2880"/>
          </w:tcPr>
          <w:p>
            <w:r>
              <w:t>Total Costs (inc. GST) per Feasibility Study</w:t>
            </w:r>
          </w:p>
        </w:tc>
        <w:tc>
          <w:tcPr>
            <w:tcW w:type="dxa" w:w="2880"/>
          </w:tcPr>
          <w:p>
            <w:r/>
          </w:p>
        </w:tc>
        <w:tc>
          <w:tcPr>
            <w:tcW w:type="dxa" w:w="2880"/>
          </w:tcPr>
          <w:p>
            <w:r>
              <w:t>$17,852,937</w:t>
            </w:r>
          </w:p>
        </w:tc>
      </w:tr>
    </w:tbl>
    <w:p>
      <w:r>
        <w:t>Notes on the updated DA cost inputs:</w:t>
      </w:r>
    </w:p>
    <w:p>
      <w:pPr>
        <w:pStyle w:val="ListBullet"/>
      </w:pPr>
      <w:r>
        <w:t>The DA lodgement fee is $33,443 — base $2,928 + access easement $2,915 + $575 × 48 lots. The access-easement component is new since the original business case and reflects the Dorset Drive access solution. This sits within the Development Approval allowance above.</w:t>
      </w:r>
    </w:p>
    <w:p>
      <w:pPr>
        <w:pStyle w:val="ListBullet"/>
      </w:pPr>
      <w:r>
        <w:t>Council's infrastructure charge is $36,670.70 per additional lot (split between Council and Unitywater), i.e. of the order of $1.7m across the net additional lots — captured within the Operational Works Approval / Council fees allowance. Confirm against the final feasibility.</w:t>
      </w:r>
    </w:p>
    <w:p>
      <w:pPr>
        <w:pStyle w:val="ListBullet"/>
      </w:pPr>
      <w:r>
        <w:t>The Holding Costs line should be reconciled against the now-known debt structure (see Funding &amp; Financing).</w:t>
      </w:r>
    </w:p>
    <w:p>
      <w:pPr>
        <w:pStyle w:val="Heading1"/>
      </w:pPr>
      <w:r>
        <w:t>Funding &amp; Financing</w:t>
      </w:r>
    </w:p>
    <w:p>
      <w:r>
        <w:t>A Draft Loan Agreement has been prepared for a facility of AUD $1,400,000, on the following key terms:</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Detail</w:t>
            </w:r>
          </w:p>
        </w:tc>
      </w:tr>
      <w:tr>
        <w:tc>
          <w:tcPr>
            <w:tcW w:type="dxa" w:w="4320"/>
          </w:tcPr>
          <w:p>
            <w:r>
              <w:t>Loan amount</w:t>
            </w:r>
          </w:p>
        </w:tc>
        <w:tc>
          <w:tcPr>
            <w:tcW w:type="dxa" w:w="4320"/>
          </w:tcPr>
          <w:p>
            <w:r>
              <w:t>$1,400,000</w:t>
            </w:r>
          </w:p>
        </w:tc>
      </w:tr>
      <w:tr>
        <w:tc>
          <w:tcPr>
            <w:tcW w:type="dxa" w:w="4320"/>
          </w:tcPr>
          <w:p>
            <w:r>
              <w:t>Interest — pre-DA</w:t>
            </w:r>
          </w:p>
        </w:tc>
        <w:tc>
          <w:tcPr>
            <w:tcW w:type="dxa" w:w="4320"/>
          </w:tcPr>
          <w:p>
            <w:r>
              <w:t>20% p.a. (Advance Date to DA Date)</w:t>
            </w:r>
          </w:p>
        </w:tc>
      </w:tr>
      <w:tr>
        <w:tc>
          <w:tcPr>
            <w:tcW w:type="dxa" w:w="4320"/>
          </w:tcPr>
          <w:p>
            <w:r>
              <w:t>Interest — post-DA</w:t>
            </w:r>
          </w:p>
        </w:tc>
        <w:tc>
          <w:tcPr>
            <w:tcW w:type="dxa" w:w="4320"/>
          </w:tcPr>
          <w:p>
            <w:r>
              <w:t>15% p.a. (DA Date to repayment)</w:t>
            </w:r>
          </w:p>
        </w:tc>
      </w:tr>
      <w:tr>
        <w:tc>
          <w:tcPr>
            <w:tcW w:type="dxa" w:w="4320"/>
          </w:tcPr>
          <w:p>
            <w:r>
              <w:t>Default rate</w:t>
            </w:r>
          </w:p>
        </w:tc>
        <w:tc>
          <w:tcPr>
            <w:tcW w:type="dxa" w:w="4320"/>
          </w:tcPr>
          <w:p>
            <w:r>
              <w:t>24% p.a. (to be confirmed)</w:t>
            </w:r>
          </w:p>
        </w:tc>
      </w:tr>
      <w:tr>
        <w:tc>
          <w:tcPr>
            <w:tcW w:type="dxa" w:w="4320"/>
          </w:tcPr>
          <w:p>
            <w:r>
              <w:t>Security</w:t>
            </w:r>
          </w:p>
        </w:tc>
        <w:tc>
          <w:tcPr>
            <w:tcW w:type="dxa" w:w="4320"/>
          </w:tcPr>
          <w:p>
            <w:r>
              <w:t>Third registered mortgage over 25 Granville St, West End (S. Purcell); second registered mortgage over 85 River Drive (Brightfall Pty Ltd ATF Brightfall Trust), behind an existing first mortgage</w:t>
            </w:r>
          </w:p>
        </w:tc>
      </w:tr>
      <w:tr>
        <w:tc>
          <w:tcPr>
            <w:tcW w:type="dxa" w:w="4320"/>
          </w:tcPr>
          <w:p>
            <w:r>
              <w:t>Repayment</w:t>
            </w:r>
          </w:p>
        </w:tc>
        <w:tc>
          <w:tcPr>
            <w:tcW w:type="dxa" w:w="4320"/>
          </w:tcPr>
          <w:p>
            <w:r>
              <w:t>On or before the Repayment Date (aligned to projected sales completion plus buffer); sale-proceeds sweep on each lot settlement</w:t>
            </w:r>
          </w:p>
        </w:tc>
      </w:tr>
      <w:tr>
        <w:tc>
          <w:tcPr>
            <w:tcW w:type="dxa" w:w="4320"/>
          </w:tcPr>
          <w:p>
            <w:r>
              <w:t>Purpose</w:t>
            </w:r>
          </w:p>
        </w:tc>
        <w:tc>
          <w:tcPr>
            <w:tcW w:type="dxa" w:w="4320"/>
          </w:tcPr>
          <w:p>
            <w:r>
              <w:t>Acquisition, holding and development costs of the project</w:t>
            </w:r>
          </w:p>
        </w:tc>
      </w:tr>
    </w:tbl>
    <w:p>
      <w:r>
        <w:t>The agreement also grants the lender (a licensed builder), together with B.E Property, the first and exclusive right to market and sell all 48 lots as House &amp; Land Packages (see Sales Guidance).</w:t>
      </w:r>
    </w:p>
    <w:p>
      <w:r>
        <w:t>Points for investors to note:</w:t>
      </w:r>
    </w:p>
    <w:p>
      <w:pPr>
        <w:pStyle w:val="ListBullet"/>
      </w:pPr>
      <w:r>
        <w:t>$1.4m is part of the capital stack only; the project's total non-land funding requirement is materially larger and is assumed to be met by senior debt and/or equity. The headline Holding Costs of $2.46m should be read against the full debt structure and the above interest rates.</w:t>
      </w:r>
    </w:p>
    <w:p>
      <w:pPr>
        <w:pStyle w:val="ListBullet"/>
      </w:pPr>
      <w:r>
        <w:t>The 20% pre-DA rate accrues until the DA decision takes effect, creating a strong incentive — and a financial imperative — to obtain the DA quickly. Any DA delay is more costly than a generic interest buffer implies.</w:t>
      </w:r>
    </w:p>
    <w:p>
      <w:pPr>
        <w:pStyle w:val="ListBullet"/>
      </w:pPr>
      <w:r>
        <w:t>Security includes a third mortgage over a director's residence and a second mortgage over River Drive behind an undisclosed first mortgage — a sponsor-level exposure disclosed here for completeness.</w:t>
      </w:r>
    </w:p>
    <w:p>
      <w:pPr>
        <w:pStyle w:val="Heading1"/>
      </w:pPr>
      <w:r>
        <w:t>Proposed Project Timeline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Estimated Start</w:t>
            </w:r>
          </w:p>
        </w:tc>
        <w:tc>
          <w:tcPr>
            <w:tcW w:type="dxa" w:w="2880"/>
          </w:tcPr>
          <w:p>
            <w:r>
              <w:rPr>
                <w:b/>
              </w:rPr>
              <w:t>Estimated Finish</w:t>
            </w:r>
          </w:p>
        </w:tc>
      </w:tr>
      <w:tr>
        <w:tc>
          <w:tcPr>
            <w:tcW w:type="dxa" w:w="2880"/>
          </w:tcPr>
          <w:p>
            <w:r>
              <w:t>Development Approval</w:t>
            </w:r>
          </w:p>
        </w:tc>
        <w:tc>
          <w:tcPr>
            <w:tcW w:type="dxa" w:w="2880"/>
          </w:tcPr>
          <w:p>
            <w:r>
              <w:t>May 2026</w:t>
            </w:r>
          </w:p>
        </w:tc>
        <w:tc>
          <w:tcPr>
            <w:tcW w:type="dxa" w:w="2880"/>
          </w:tcPr>
          <w:p>
            <w:r>
              <w:t>December 2026</w:t>
            </w:r>
          </w:p>
        </w:tc>
      </w:tr>
      <w:tr>
        <w:tc>
          <w:tcPr>
            <w:tcW w:type="dxa" w:w="2880"/>
          </w:tcPr>
          <w:p>
            <w:r>
              <w:t>Operational Works Approval</w:t>
            </w:r>
          </w:p>
        </w:tc>
        <w:tc>
          <w:tcPr>
            <w:tcW w:type="dxa" w:w="2880"/>
          </w:tcPr>
          <w:p>
            <w:r>
              <w:t>January 2027</w:t>
            </w:r>
          </w:p>
        </w:tc>
        <w:tc>
          <w:tcPr>
            <w:tcW w:type="dxa" w:w="2880"/>
          </w:tcPr>
          <w:p>
            <w:r>
              <w:t>March 2027</w:t>
            </w:r>
          </w:p>
        </w:tc>
      </w:tr>
      <w:tr>
        <w:tc>
          <w:tcPr>
            <w:tcW w:type="dxa" w:w="2880"/>
          </w:tcPr>
          <w:p>
            <w:r>
              <w:t>Civil Construction</w:t>
            </w:r>
          </w:p>
        </w:tc>
        <w:tc>
          <w:tcPr>
            <w:tcW w:type="dxa" w:w="2880"/>
          </w:tcPr>
          <w:p>
            <w:r>
              <w:t>March 2027</w:t>
            </w:r>
          </w:p>
        </w:tc>
        <w:tc>
          <w:tcPr>
            <w:tcW w:type="dxa" w:w="2880"/>
          </w:tcPr>
          <w:p>
            <w:r>
              <w:t>December 2027</w:t>
            </w:r>
          </w:p>
        </w:tc>
      </w:tr>
      <w:tr>
        <w:tc>
          <w:tcPr>
            <w:tcW w:type="dxa" w:w="2880"/>
          </w:tcPr>
          <w:p>
            <w:r>
              <w:t>Sales Period</w:t>
            </w:r>
          </w:p>
        </w:tc>
        <w:tc>
          <w:tcPr>
            <w:tcW w:type="dxa" w:w="2880"/>
          </w:tcPr>
          <w:p>
            <w:r>
              <w:t>January 2027</w:t>
            </w:r>
          </w:p>
        </w:tc>
        <w:tc>
          <w:tcPr>
            <w:tcW w:type="dxa" w:w="2880"/>
          </w:tcPr>
          <w:p>
            <w:r>
              <w:t>May 2028</w:t>
            </w:r>
          </w:p>
        </w:tc>
      </w:tr>
    </w:tbl>
    <w:p>
      <w:r>
        <w:rPr>
          <w:i/>
        </w:rPr>
        <w:t>Timing flag: 3-7 Dorset Drive — the parcel providing the estate's sole approved access — settles 31 March 2027, coinciding with the planned civil-construction start. Control of the Dorset Drive frontage is a precondition to building the access road; confirm the construction sequence and any early-access rights under the Dorset contract.</w:t>
      </w:r>
    </w:p>
    <w:p>
      <w:pPr>
        <w:pStyle w:val="Heading2"/>
      </w:pPr>
      <w:r>
        <w:t>Key Dates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85 River Drive</w:t>
            </w:r>
          </w:p>
        </w:tc>
        <w:tc>
          <w:tcPr>
            <w:tcW w:type="dxa" w:w="2160"/>
          </w:tcPr>
          <w:p>
            <w:r>
              <w:rPr>
                <w:b/>
              </w:rPr>
              <w:t>181 Torrens Road</w:t>
            </w:r>
          </w:p>
        </w:tc>
        <w:tc>
          <w:tcPr>
            <w:tcW w:type="dxa" w:w="2160"/>
          </w:tcPr>
          <w:p>
            <w:r>
              <w:rPr>
                <w:b/>
              </w:rPr>
              <w:t>3-7 Dorset Drive</w:t>
            </w:r>
          </w:p>
        </w:tc>
      </w:tr>
      <w:tr>
        <w:tc>
          <w:tcPr>
            <w:tcW w:type="dxa" w:w="2160"/>
          </w:tcPr>
          <w:p>
            <w:r>
              <w:t>Contract Date</w:t>
            </w:r>
          </w:p>
        </w:tc>
        <w:tc>
          <w:tcPr>
            <w:tcW w:type="dxa" w:w="2160"/>
          </w:tcPr>
          <w:p>
            <w:r>
              <w:t>16 Jan 2026</w:t>
            </w:r>
          </w:p>
        </w:tc>
        <w:tc>
          <w:tcPr>
            <w:tcW w:type="dxa" w:w="2160"/>
          </w:tcPr>
          <w:p>
            <w:r>
              <w:t>23 Dec 2025</w:t>
            </w:r>
          </w:p>
        </w:tc>
        <w:tc>
          <w:tcPr>
            <w:tcW w:type="dxa" w:w="2160"/>
          </w:tcPr>
          <w:p>
            <w:r>
              <w:t>31 Mar 2026</w:t>
            </w:r>
          </w:p>
        </w:tc>
      </w:tr>
      <w:tr>
        <w:tc>
          <w:tcPr>
            <w:tcW w:type="dxa" w:w="2160"/>
          </w:tcPr>
          <w:p>
            <w:r>
              <w:t>Due Diligence Expiry</w:t>
            </w:r>
          </w:p>
        </w:tc>
        <w:tc>
          <w:tcPr>
            <w:tcW w:type="dxa" w:w="2160"/>
          </w:tcPr>
          <w:p>
            <w:r>
              <w:t>2 Apr 2026</w:t>
            </w:r>
          </w:p>
        </w:tc>
        <w:tc>
          <w:tcPr>
            <w:tcW w:type="dxa" w:w="2160"/>
          </w:tcPr>
          <w:p>
            <w:r>
              <w:t>7 Apr 2026</w:t>
            </w:r>
          </w:p>
        </w:tc>
        <w:tc>
          <w:tcPr>
            <w:tcW w:type="dxa" w:w="2160"/>
          </w:tcPr>
          <w:p>
            <w:r>
              <w:t>4 Jun 2026</w:t>
            </w:r>
          </w:p>
        </w:tc>
      </w:tr>
      <w:tr>
        <w:tc>
          <w:tcPr>
            <w:tcW w:type="dxa" w:w="2160"/>
          </w:tcPr>
          <w:p>
            <w:r>
              <w:t>Contract Unconditional</w:t>
            </w:r>
          </w:p>
        </w:tc>
        <w:tc>
          <w:tcPr>
            <w:tcW w:type="dxa" w:w="2160"/>
          </w:tcPr>
          <w:p>
            <w:r>
              <w:t>2 Apr 2026</w:t>
            </w:r>
          </w:p>
        </w:tc>
        <w:tc>
          <w:tcPr>
            <w:tcW w:type="dxa" w:w="2160"/>
          </w:tcPr>
          <w:p>
            <w:r>
              <w:t>9 Apr 2026</w:t>
            </w:r>
          </w:p>
        </w:tc>
        <w:tc>
          <w:tcPr>
            <w:tcW w:type="dxa" w:w="2160"/>
          </w:tcPr>
          <w:p>
            <w:r>
              <w:t>4 Jun 2026</w:t>
            </w:r>
          </w:p>
        </w:tc>
      </w:tr>
      <w:tr>
        <w:tc>
          <w:tcPr>
            <w:tcW w:type="dxa" w:w="2160"/>
          </w:tcPr>
          <w:p>
            <w:r>
              <w:t>Settlement</w:t>
            </w:r>
          </w:p>
        </w:tc>
        <w:tc>
          <w:tcPr>
            <w:tcW w:type="dxa" w:w="2160"/>
          </w:tcPr>
          <w:p>
            <w:r>
              <w:t>16 Jun 2026</w:t>
            </w:r>
          </w:p>
        </w:tc>
        <w:tc>
          <w:tcPr>
            <w:tcW w:type="dxa" w:w="2160"/>
          </w:tcPr>
          <w:p>
            <w:r>
              <w:t>25 May 2026</w:t>
            </w:r>
          </w:p>
        </w:tc>
        <w:tc>
          <w:tcPr>
            <w:tcW w:type="dxa" w:w="2160"/>
          </w:tcPr>
          <w:p>
            <w:r>
              <w:t>31 Mar 2027</w:t>
            </w:r>
          </w:p>
        </w:tc>
      </w:tr>
    </w:tbl>
    <w:p>
      <w:pPr>
        <w:pStyle w:val="Heading1"/>
      </w:pPr>
      <w:r>
        <w:t>Sales Guidance</w:t>
      </w:r>
    </w:p>
    <w:p>
      <w:r>
        <w:t>Forecast sale prices were prepared by B.E Property, the project's appointed residential land sales agency, calibrated to comparable transactions in the Caboolture corridor as at March 2026 and reflecting individual lot size, frontage, aspect and position within the estate. A conservative column applies a uniform 5% reduction to stress-test against market softening.</w:t>
      </w:r>
    </w:p>
    <w:p>
      <w:r>
        <w:rPr>
          <w:i/>
        </w:rPr>
        <w:t>Important disclosure — sales structure. Under the Draft Loan Agreement, B.E Property is the financier's nominated sales partner and, together with the builder-lender, holds the first and exclusive right to sell all 48 lots as House &amp; Land Packages. Each sale comprises (a) a land contract between the registered owner and the buyer at a B.E Property-determined market price (subject to the borrower's price approval, with a recommended pricing floor at the conservative column), and (b) a separate building contract between the lender and the buyer, with the builder margin on the dwelling accruing to the lender, not to this project. Pricing should therefore be understood as prepared by the project's appointed (related-party) sales channel rather than by an arm's-length independent valuer. The borrower retains a step-back right to convert the sales rights to non-exclusive if sales do not progress satisfactorily at plan sealing.</w:t>
      </w:r>
    </w:p>
    <w:p>
      <w:pPr>
        <w:pStyle w:val="Heading2"/>
      </w:pPr>
      <w:r>
        <w:t>Lot pricing schedule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Lot</w:t>
            </w:r>
          </w:p>
        </w:tc>
        <w:tc>
          <w:tcPr>
            <w:tcW w:type="dxa" w:w="1728"/>
          </w:tcPr>
          <w:p>
            <w:r>
              <w:rPr>
                <w:b/>
              </w:rPr>
              <w:t>Size (m²)</w:t>
            </w:r>
          </w:p>
        </w:tc>
        <w:tc>
          <w:tcPr>
            <w:tcW w:type="dxa" w:w="1728"/>
          </w:tcPr>
          <w:p>
            <w:r>
              <w:rPr>
                <w:b/>
              </w:rPr>
              <w:t>$/m²</w:t>
            </w:r>
          </w:p>
        </w:tc>
        <w:tc>
          <w:tcPr>
            <w:tcW w:type="dxa" w:w="1728"/>
          </w:tcPr>
          <w:p>
            <w:r>
              <w:rPr>
                <w:b/>
              </w:rPr>
              <w:t>Forecast (inc GST)</w:t>
            </w:r>
          </w:p>
        </w:tc>
        <w:tc>
          <w:tcPr>
            <w:tcW w:type="dxa" w:w="1728"/>
          </w:tcPr>
          <w:p>
            <w:r>
              <w:rPr>
                <w:b/>
              </w:rPr>
              <w:t>Conservative (inc GST)</w:t>
            </w:r>
          </w:p>
        </w:tc>
      </w:tr>
      <w:tr>
        <w:tc>
          <w:tcPr>
            <w:tcW w:type="dxa" w:w="1728"/>
          </w:tcPr>
          <w:p>
            <w:r>
              <w:t>1</w:t>
            </w:r>
          </w:p>
        </w:tc>
        <w:tc>
          <w:tcPr>
            <w:tcW w:type="dxa" w:w="1728"/>
          </w:tcPr>
          <w:p>
            <w:r>
              <w:t>300</w:t>
            </w:r>
          </w:p>
        </w:tc>
        <w:tc>
          <w:tcPr>
            <w:tcW w:type="dxa" w:w="1728"/>
          </w:tcPr>
          <w:p>
            <w:r>
              <w:t>1,644</w:t>
            </w:r>
          </w:p>
        </w:tc>
        <w:tc>
          <w:tcPr>
            <w:tcW w:type="dxa" w:w="1728"/>
          </w:tcPr>
          <w:p>
            <w:r>
              <w:t>$493,200</w:t>
            </w:r>
          </w:p>
        </w:tc>
        <w:tc>
          <w:tcPr>
            <w:tcW w:type="dxa" w:w="1728"/>
          </w:tcPr>
          <w:p>
            <w:r>
              <w:t>$468,540</w:t>
            </w:r>
          </w:p>
        </w:tc>
      </w:tr>
      <w:tr>
        <w:tc>
          <w:tcPr>
            <w:tcW w:type="dxa" w:w="1728"/>
          </w:tcPr>
          <w:p>
            <w:r>
              <w:t>2</w:t>
            </w:r>
          </w:p>
        </w:tc>
        <w:tc>
          <w:tcPr>
            <w:tcW w:type="dxa" w:w="1728"/>
          </w:tcPr>
          <w:p>
            <w:r>
              <w:t>311</w:t>
            </w:r>
          </w:p>
        </w:tc>
        <w:tc>
          <w:tcPr>
            <w:tcW w:type="dxa" w:w="1728"/>
          </w:tcPr>
          <w:p>
            <w:r>
              <w:t>1,650</w:t>
            </w:r>
          </w:p>
        </w:tc>
        <w:tc>
          <w:tcPr>
            <w:tcW w:type="dxa" w:w="1728"/>
          </w:tcPr>
          <w:p>
            <w:r>
              <w:t>$513,150</w:t>
            </w:r>
          </w:p>
        </w:tc>
        <w:tc>
          <w:tcPr>
            <w:tcW w:type="dxa" w:w="1728"/>
          </w:tcPr>
          <w:p>
            <w:r>
              <w:t>$487,493</w:t>
            </w:r>
          </w:p>
        </w:tc>
      </w:tr>
      <w:tr>
        <w:tc>
          <w:tcPr>
            <w:tcW w:type="dxa" w:w="1728"/>
          </w:tcPr>
          <w:p>
            <w:r>
              <w:t>3</w:t>
            </w:r>
          </w:p>
        </w:tc>
        <w:tc>
          <w:tcPr>
            <w:tcW w:type="dxa" w:w="1728"/>
          </w:tcPr>
          <w:p>
            <w:r>
              <w:t>378</w:t>
            </w:r>
          </w:p>
        </w:tc>
        <w:tc>
          <w:tcPr>
            <w:tcW w:type="dxa" w:w="1728"/>
          </w:tcPr>
          <w:p>
            <w:r>
              <w:t>1,468</w:t>
            </w:r>
          </w:p>
        </w:tc>
        <w:tc>
          <w:tcPr>
            <w:tcW w:type="dxa" w:w="1728"/>
          </w:tcPr>
          <w:p>
            <w:r>
              <w:t>$554,904</w:t>
            </w:r>
          </w:p>
        </w:tc>
        <w:tc>
          <w:tcPr>
            <w:tcW w:type="dxa" w:w="1728"/>
          </w:tcPr>
          <w:p>
            <w:r>
              <w:t>$527,159</w:t>
            </w:r>
          </w:p>
        </w:tc>
      </w:tr>
      <w:tr>
        <w:tc>
          <w:tcPr>
            <w:tcW w:type="dxa" w:w="1728"/>
          </w:tcPr>
          <w:p>
            <w:r>
              <w:t>4</w:t>
            </w:r>
          </w:p>
        </w:tc>
        <w:tc>
          <w:tcPr>
            <w:tcW w:type="dxa" w:w="1728"/>
          </w:tcPr>
          <w:p>
            <w:r>
              <w:t>321</w:t>
            </w:r>
          </w:p>
        </w:tc>
        <w:tc>
          <w:tcPr>
            <w:tcW w:type="dxa" w:w="1728"/>
          </w:tcPr>
          <w:p>
            <w:r>
              <w:t>1,596</w:t>
            </w:r>
          </w:p>
        </w:tc>
        <w:tc>
          <w:tcPr>
            <w:tcW w:type="dxa" w:w="1728"/>
          </w:tcPr>
          <w:p>
            <w:r>
              <w:t>$512,316</w:t>
            </w:r>
          </w:p>
        </w:tc>
        <w:tc>
          <w:tcPr>
            <w:tcW w:type="dxa" w:w="1728"/>
          </w:tcPr>
          <w:p>
            <w:r>
              <w:t>$486,700</w:t>
            </w:r>
          </w:p>
        </w:tc>
      </w:tr>
      <w:tr>
        <w:tc>
          <w:tcPr>
            <w:tcW w:type="dxa" w:w="1728"/>
          </w:tcPr>
          <w:p>
            <w:r>
              <w:t>5</w:t>
            </w:r>
          </w:p>
        </w:tc>
        <w:tc>
          <w:tcPr>
            <w:tcW w:type="dxa" w:w="1728"/>
          </w:tcPr>
          <w:p>
            <w:r>
              <w:t>268</w:t>
            </w:r>
          </w:p>
        </w:tc>
        <w:tc>
          <w:tcPr>
            <w:tcW w:type="dxa" w:w="1728"/>
          </w:tcPr>
          <w:p>
            <w:r>
              <w:t>1,793</w:t>
            </w:r>
          </w:p>
        </w:tc>
        <w:tc>
          <w:tcPr>
            <w:tcW w:type="dxa" w:w="1728"/>
          </w:tcPr>
          <w:p>
            <w:r>
              <w:t>$480,524</w:t>
            </w:r>
          </w:p>
        </w:tc>
        <w:tc>
          <w:tcPr>
            <w:tcW w:type="dxa" w:w="1728"/>
          </w:tcPr>
          <w:p>
            <w:r>
              <w:t>$456,498</w:t>
            </w:r>
          </w:p>
        </w:tc>
      </w:tr>
      <w:tr>
        <w:tc>
          <w:tcPr>
            <w:tcW w:type="dxa" w:w="1728"/>
          </w:tcPr>
          <w:p>
            <w:r>
              <w:t>6</w:t>
            </w:r>
          </w:p>
        </w:tc>
        <w:tc>
          <w:tcPr>
            <w:tcW w:type="dxa" w:w="1728"/>
          </w:tcPr>
          <w:p>
            <w:r>
              <w:t>256</w:t>
            </w:r>
          </w:p>
        </w:tc>
        <w:tc>
          <w:tcPr>
            <w:tcW w:type="dxa" w:w="1728"/>
          </w:tcPr>
          <w:p>
            <w:r>
              <w:t>1,822</w:t>
            </w:r>
          </w:p>
        </w:tc>
        <w:tc>
          <w:tcPr>
            <w:tcW w:type="dxa" w:w="1728"/>
          </w:tcPr>
          <w:p>
            <w:r>
              <w:t>$466,432</w:t>
            </w:r>
          </w:p>
        </w:tc>
        <w:tc>
          <w:tcPr>
            <w:tcW w:type="dxa" w:w="1728"/>
          </w:tcPr>
          <w:p>
            <w:r>
              <w:t>$443,110</w:t>
            </w:r>
          </w:p>
        </w:tc>
      </w:tr>
      <w:tr>
        <w:tc>
          <w:tcPr>
            <w:tcW w:type="dxa" w:w="1728"/>
          </w:tcPr>
          <w:p>
            <w:r>
              <w:t>7</w:t>
            </w:r>
          </w:p>
        </w:tc>
        <w:tc>
          <w:tcPr>
            <w:tcW w:type="dxa" w:w="1728"/>
          </w:tcPr>
          <w:p>
            <w:r>
              <w:t>278</w:t>
            </w:r>
          </w:p>
        </w:tc>
        <w:tc>
          <w:tcPr>
            <w:tcW w:type="dxa" w:w="1728"/>
          </w:tcPr>
          <w:p>
            <w:r>
              <w:t>1,729</w:t>
            </w:r>
          </w:p>
        </w:tc>
        <w:tc>
          <w:tcPr>
            <w:tcW w:type="dxa" w:w="1728"/>
          </w:tcPr>
          <w:p>
            <w:r>
              <w:t>$480,662</w:t>
            </w:r>
          </w:p>
        </w:tc>
        <w:tc>
          <w:tcPr>
            <w:tcW w:type="dxa" w:w="1728"/>
          </w:tcPr>
          <w:p>
            <w:r>
              <w:t>$456,629</w:t>
            </w:r>
          </w:p>
        </w:tc>
      </w:tr>
      <w:tr>
        <w:tc>
          <w:tcPr>
            <w:tcW w:type="dxa" w:w="1728"/>
          </w:tcPr>
          <w:p>
            <w:r>
              <w:t>8</w:t>
            </w:r>
          </w:p>
        </w:tc>
        <w:tc>
          <w:tcPr>
            <w:tcW w:type="dxa" w:w="1728"/>
          </w:tcPr>
          <w:p>
            <w:r>
              <w:t>250</w:t>
            </w:r>
          </w:p>
        </w:tc>
        <w:tc>
          <w:tcPr>
            <w:tcW w:type="dxa" w:w="1728"/>
          </w:tcPr>
          <w:p>
            <w:r>
              <w:t>1,836</w:t>
            </w:r>
          </w:p>
        </w:tc>
        <w:tc>
          <w:tcPr>
            <w:tcW w:type="dxa" w:w="1728"/>
          </w:tcPr>
          <w:p>
            <w:r>
              <w:t>$459,000</w:t>
            </w:r>
          </w:p>
        </w:tc>
        <w:tc>
          <w:tcPr>
            <w:tcW w:type="dxa" w:w="1728"/>
          </w:tcPr>
          <w:p>
            <w:r>
              <w:t>$436,050</w:t>
            </w:r>
          </w:p>
        </w:tc>
      </w:tr>
      <w:tr>
        <w:tc>
          <w:tcPr>
            <w:tcW w:type="dxa" w:w="1728"/>
          </w:tcPr>
          <w:p>
            <w:r>
              <w:t>9</w:t>
            </w:r>
          </w:p>
        </w:tc>
        <w:tc>
          <w:tcPr>
            <w:tcW w:type="dxa" w:w="1728"/>
          </w:tcPr>
          <w:p>
            <w:r>
              <w:t>253</w:t>
            </w:r>
          </w:p>
        </w:tc>
        <w:tc>
          <w:tcPr>
            <w:tcW w:type="dxa" w:w="1728"/>
          </w:tcPr>
          <w:p>
            <w:r>
              <w:t>1,822</w:t>
            </w:r>
          </w:p>
        </w:tc>
        <w:tc>
          <w:tcPr>
            <w:tcW w:type="dxa" w:w="1728"/>
          </w:tcPr>
          <w:p>
            <w:r>
              <w:t>$460,966</w:t>
            </w:r>
          </w:p>
        </w:tc>
        <w:tc>
          <w:tcPr>
            <w:tcW w:type="dxa" w:w="1728"/>
          </w:tcPr>
          <w:p>
            <w:r>
              <w:t>$437,918</w:t>
            </w:r>
          </w:p>
        </w:tc>
      </w:tr>
      <w:tr>
        <w:tc>
          <w:tcPr>
            <w:tcW w:type="dxa" w:w="1728"/>
          </w:tcPr>
          <w:p>
            <w:r>
              <w:t>10</w:t>
            </w:r>
          </w:p>
        </w:tc>
        <w:tc>
          <w:tcPr>
            <w:tcW w:type="dxa" w:w="1728"/>
          </w:tcPr>
          <w:p>
            <w:r>
              <w:t>341</w:t>
            </w:r>
          </w:p>
        </w:tc>
        <w:tc>
          <w:tcPr>
            <w:tcW w:type="dxa" w:w="1728"/>
          </w:tcPr>
          <w:p>
            <w:r>
              <w:t>1,472</w:t>
            </w:r>
          </w:p>
        </w:tc>
        <w:tc>
          <w:tcPr>
            <w:tcW w:type="dxa" w:w="1728"/>
          </w:tcPr>
          <w:p>
            <w:r>
              <w:t>$501,952</w:t>
            </w:r>
          </w:p>
        </w:tc>
        <w:tc>
          <w:tcPr>
            <w:tcW w:type="dxa" w:w="1728"/>
          </w:tcPr>
          <w:p>
            <w:r>
              <w:t>$476,854</w:t>
            </w:r>
          </w:p>
        </w:tc>
      </w:tr>
      <w:tr>
        <w:tc>
          <w:tcPr>
            <w:tcW w:type="dxa" w:w="1728"/>
          </w:tcPr>
          <w:p>
            <w:r>
              <w:t>11</w:t>
            </w:r>
          </w:p>
        </w:tc>
        <w:tc>
          <w:tcPr>
            <w:tcW w:type="dxa" w:w="1728"/>
          </w:tcPr>
          <w:p>
            <w:r>
              <w:t>462</w:t>
            </w:r>
          </w:p>
        </w:tc>
        <w:tc>
          <w:tcPr>
            <w:tcW w:type="dxa" w:w="1728"/>
          </w:tcPr>
          <w:p>
            <w:r>
              <w:t>1,134</w:t>
            </w:r>
          </w:p>
        </w:tc>
        <w:tc>
          <w:tcPr>
            <w:tcW w:type="dxa" w:w="1728"/>
          </w:tcPr>
          <w:p>
            <w:r>
              <w:t>$523,908</w:t>
            </w:r>
          </w:p>
        </w:tc>
        <w:tc>
          <w:tcPr>
            <w:tcW w:type="dxa" w:w="1728"/>
          </w:tcPr>
          <w:p>
            <w:r>
              <w:t>$497,713</w:t>
            </w:r>
          </w:p>
        </w:tc>
      </w:tr>
      <w:tr>
        <w:tc>
          <w:tcPr>
            <w:tcW w:type="dxa" w:w="1728"/>
          </w:tcPr>
          <w:p>
            <w:r>
              <w:t>12</w:t>
            </w:r>
          </w:p>
        </w:tc>
        <w:tc>
          <w:tcPr>
            <w:tcW w:type="dxa" w:w="1728"/>
          </w:tcPr>
          <w:p>
            <w:r>
              <w:t>242</w:t>
            </w:r>
          </w:p>
        </w:tc>
        <w:tc>
          <w:tcPr>
            <w:tcW w:type="dxa" w:w="1728"/>
          </w:tcPr>
          <w:p>
            <w:r>
              <w:t>1,798</w:t>
            </w:r>
          </w:p>
        </w:tc>
        <w:tc>
          <w:tcPr>
            <w:tcW w:type="dxa" w:w="1728"/>
          </w:tcPr>
          <w:p>
            <w:r>
              <w:t>$435,116</w:t>
            </w:r>
          </w:p>
        </w:tc>
        <w:tc>
          <w:tcPr>
            <w:tcW w:type="dxa" w:w="1728"/>
          </w:tcPr>
          <w:p>
            <w:r>
              <w:t>$413,360</w:t>
            </w:r>
          </w:p>
        </w:tc>
      </w:tr>
      <w:tr>
        <w:tc>
          <w:tcPr>
            <w:tcW w:type="dxa" w:w="1728"/>
          </w:tcPr>
          <w:p>
            <w:r>
              <w:t>13</w:t>
            </w:r>
          </w:p>
        </w:tc>
        <w:tc>
          <w:tcPr>
            <w:tcW w:type="dxa" w:w="1728"/>
          </w:tcPr>
          <w:p>
            <w:r>
              <w:t>246</w:t>
            </w:r>
          </w:p>
        </w:tc>
        <w:tc>
          <w:tcPr>
            <w:tcW w:type="dxa" w:w="1728"/>
          </w:tcPr>
          <w:p>
            <w:r>
              <w:t>1,780</w:t>
            </w:r>
          </w:p>
        </w:tc>
        <w:tc>
          <w:tcPr>
            <w:tcW w:type="dxa" w:w="1728"/>
          </w:tcPr>
          <w:p>
            <w:r>
              <w:t>$437,880</w:t>
            </w:r>
          </w:p>
        </w:tc>
        <w:tc>
          <w:tcPr>
            <w:tcW w:type="dxa" w:w="1728"/>
          </w:tcPr>
          <w:p>
            <w:r>
              <w:t>$415,986</w:t>
            </w:r>
          </w:p>
        </w:tc>
      </w:tr>
      <w:tr>
        <w:tc>
          <w:tcPr>
            <w:tcW w:type="dxa" w:w="1728"/>
          </w:tcPr>
          <w:p>
            <w:r>
              <w:t>14</w:t>
            </w:r>
          </w:p>
        </w:tc>
        <w:tc>
          <w:tcPr>
            <w:tcW w:type="dxa" w:w="1728"/>
          </w:tcPr>
          <w:p>
            <w:r>
              <w:t>465</w:t>
            </w:r>
          </w:p>
        </w:tc>
        <w:tc>
          <w:tcPr>
            <w:tcW w:type="dxa" w:w="1728"/>
          </w:tcPr>
          <w:p>
            <w:r>
              <w:t>1,250</w:t>
            </w:r>
          </w:p>
        </w:tc>
        <w:tc>
          <w:tcPr>
            <w:tcW w:type="dxa" w:w="1728"/>
          </w:tcPr>
          <w:p>
            <w:r>
              <w:t>$581,250</w:t>
            </w:r>
          </w:p>
        </w:tc>
        <w:tc>
          <w:tcPr>
            <w:tcW w:type="dxa" w:w="1728"/>
          </w:tcPr>
          <w:p>
            <w:r>
              <w:t>$552,188</w:t>
            </w:r>
          </w:p>
        </w:tc>
      </w:tr>
      <w:tr>
        <w:tc>
          <w:tcPr>
            <w:tcW w:type="dxa" w:w="1728"/>
          </w:tcPr>
          <w:p>
            <w:r>
              <w:t>15</w:t>
            </w:r>
          </w:p>
        </w:tc>
        <w:tc>
          <w:tcPr>
            <w:tcW w:type="dxa" w:w="1728"/>
          </w:tcPr>
          <w:p>
            <w:r>
              <w:t>309</w:t>
            </w:r>
          </w:p>
        </w:tc>
        <w:tc>
          <w:tcPr>
            <w:tcW w:type="dxa" w:w="1728"/>
          </w:tcPr>
          <w:p>
            <w:r>
              <w:t>1,644</w:t>
            </w:r>
          </w:p>
        </w:tc>
        <w:tc>
          <w:tcPr>
            <w:tcW w:type="dxa" w:w="1728"/>
          </w:tcPr>
          <w:p>
            <w:r>
              <w:t>$507,996</w:t>
            </w:r>
          </w:p>
        </w:tc>
        <w:tc>
          <w:tcPr>
            <w:tcW w:type="dxa" w:w="1728"/>
          </w:tcPr>
          <w:p>
            <w:r>
              <w:t>$482,596</w:t>
            </w:r>
          </w:p>
        </w:tc>
      </w:tr>
      <w:tr>
        <w:tc>
          <w:tcPr>
            <w:tcW w:type="dxa" w:w="1728"/>
          </w:tcPr>
          <w:p>
            <w:r>
              <w:t>16</w:t>
            </w:r>
          </w:p>
        </w:tc>
        <w:tc>
          <w:tcPr>
            <w:tcW w:type="dxa" w:w="1728"/>
          </w:tcPr>
          <w:p>
            <w:r>
              <w:t>246</w:t>
            </w:r>
          </w:p>
        </w:tc>
        <w:tc>
          <w:tcPr>
            <w:tcW w:type="dxa" w:w="1728"/>
          </w:tcPr>
          <w:p>
            <w:r>
              <w:t>1,822</w:t>
            </w:r>
          </w:p>
        </w:tc>
        <w:tc>
          <w:tcPr>
            <w:tcW w:type="dxa" w:w="1728"/>
          </w:tcPr>
          <w:p>
            <w:r>
              <w:t>$448,212</w:t>
            </w:r>
          </w:p>
        </w:tc>
        <w:tc>
          <w:tcPr>
            <w:tcW w:type="dxa" w:w="1728"/>
          </w:tcPr>
          <w:p>
            <w:r>
              <w:t>$425,801</w:t>
            </w:r>
          </w:p>
        </w:tc>
      </w:tr>
      <w:tr>
        <w:tc>
          <w:tcPr>
            <w:tcW w:type="dxa" w:w="1728"/>
          </w:tcPr>
          <w:p>
            <w:r>
              <w:t>17</w:t>
            </w:r>
          </w:p>
        </w:tc>
        <w:tc>
          <w:tcPr>
            <w:tcW w:type="dxa" w:w="1728"/>
          </w:tcPr>
          <w:p>
            <w:r>
              <w:t>244</w:t>
            </w:r>
          </w:p>
        </w:tc>
        <w:tc>
          <w:tcPr>
            <w:tcW w:type="dxa" w:w="1728"/>
          </w:tcPr>
          <w:p>
            <w:r>
              <w:t>1,822</w:t>
            </w:r>
          </w:p>
        </w:tc>
        <w:tc>
          <w:tcPr>
            <w:tcW w:type="dxa" w:w="1728"/>
          </w:tcPr>
          <w:p>
            <w:r>
              <w:t>$444,568</w:t>
            </w:r>
          </w:p>
        </w:tc>
        <w:tc>
          <w:tcPr>
            <w:tcW w:type="dxa" w:w="1728"/>
          </w:tcPr>
          <w:p>
            <w:r>
              <w:t>$422,340</w:t>
            </w:r>
          </w:p>
        </w:tc>
      </w:tr>
      <w:tr>
        <w:tc>
          <w:tcPr>
            <w:tcW w:type="dxa" w:w="1728"/>
          </w:tcPr>
          <w:p>
            <w:r>
              <w:t>18</w:t>
            </w:r>
          </w:p>
        </w:tc>
        <w:tc>
          <w:tcPr>
            <w:tcW w:type="dxa" w:w="1728"/>
          </w:tcPr>
          <w:p>
            <w:r>
              <w:t>247</w:t>
            </w:r>
          </w:p>
        </w:tc>
        <w:tc>
          <w:tcPr>
            <w:tcW w:type="dxa" w:w="1728"/>
          </w:tcPr>
          <w:p>
            <w:r>
              <w:t>1,822</w:t>
            </w:r>
          </w:p>
        </w:tc>
        <w:tc>
          <w:tcPr>
            <w:tcW w:type="dxa" w:w="1728"/>
          </w:tcPr>
          <w:p>
            <w:r>
              <w:t>$450,034</w:t>
            </w:r>
          </w:p>
        </w:tc>
        <w:tc>
          <w:tcPr>
            <w:tcW w:type="dxa" w:w="1728"/>
          </w:tcPr>
          <w:p>
            <w:r>
              <w:t>$427,532</w:t>
            </w:r>
          </w:p>
        </w:tc>
      </w:tr>
      <w:tr>
        <w:tc>
          <w:tcPr>
            <w:tcW w:type="dxa" w:w="1728"/>
          </w:tcPr>
          <w:p>
            <w:r>
              <w:t>19</w:t>
            </w:r>
          </w:p>
        </w:tc>
        <w:tc>
          <w:tcPr>
            <w:tcW w:type="dxa" w:w="1728"/>
          </w:tcPr>
          <w:p>
            <w:r>
              <w:t>257</w:t>
            </w:r>
          </w:p>
        </w:tc>
        <w:tc>
          <w:tcPr>
            <w:tcW w:type="dxa" w:w="1728"/>
          </w:tcPr>
          <w:p>
            <w:r>
              <w:t>1,809</w:t>
            </w:r>
          </w:p>
        </w:tc>
        <w:tc>
          <w:tcPr>
            <w:tcW w:type="dxa" w:w="1728"/>
          </w:tcPr>
          <w:p>
            <w:r>
              <w:t>$464,913</w:t>
            </w:r>
          </w:p>
        </w:tc>
        <w:tc>
          <w:tcPr>
            <w:tcW w:type="dxa" w:w="1728"/>
          </w:tcPr>
          <w:p>
            <w:r>
              <w:t>$441,667</w:t>
            </w:r>
          </w:p>
        </w:tc>
      </w:tr>
      <w:tr>
        <w:tc>
          <w:tcPr>
            <w:tcW w:type="dxa" w:w="1728"/>
          </w:tcPr>
          <w:p>
            <w:r>
              <w:t>20</w:t>
            </w:r>
          </w:p>
        </w:tc>
        <w:tc>
          <w:tcPr>
            <w:tcW w:type="dxa" w:w="1728"/>
          </w:tcPr>
          <w:p>
            <w:r>
              <w:t>254</w:t>
            </w:r>
          </w:p>
        </w:tc>
        <w:tc>
          <w:tcPr>
            <w:tcW w:type="dxa" w:w="1728"/>
          </w:tcPr>
          <w:p>
            <w:r>
              <w:t>1,809</w:t>
            </w:r>
          </w:p>
        </w:tc>
        <w:tc>
          <w:tcPr>
            <w:tcW w:type="dxa" w:w="1728"/>
          </w:tcPr>
          <w:p>
            <w:r>
              <w:t>$459,486</w:t>
            </w:r>
          </w:p>
        </w:tc>
        <w:tc>
          <w:tcPr>
            <w:tcW w:type="dxa" w:w="1728"/>
          </w:tcPr>
          <w:p>
            <w:r>
              <w:t>$436,512</w:t>
            </w:r>
          </w:p>
        </w:tc>
      </w:tr>
      <w:tr>
        <w:tc>
          <w:tcPr>
            <w:tcW w:type="dxa" w:w="1728"/>
          </w:tcPr>
          <w:p>
            <w:r>
              <w:t>21</w:t>
            </w:r>
          </w:p>
        </w:tc>
        <w:tc>
          <w:tcPr>
            <w:tcW w:type="dxa" w:w="1728"/>
          </w:tcPr>
          <w:p>
            <w:r>
              <w:t>270</w:t>
            </w:r>
          </w:p>
        </w:tc>
        <w:tc>
          <w:tcPr>
            <w:tcW w:type="dxa" w:w="1728"/>
          </w:tcPr>
          <w:p>
            <w:r>
              <w:t>1,729</w:t>
            </w:r>
          </w:p>
        </w:tc>
        <w:tc>
          <w:tcPr>
            <w:tcW w:type="dxa" w:w="1728"/>
          </w:tcPr>
          <w:p>
            <w:r>
              <w:t>$466,830</w:t>
            </w:r>
          </w:p>
        </w:tc>
        <w:tc>
          <w:tcPr>
            <w:tcW w:type="dxa" w:w="1728"/>
          </w:tcPr>
          <w:p>
            <w:r>
              <w:t>$443,489</w:t>
            </w:r>
          </w:p>
        </w:tc>
      </w:tr>
      <w:tr>
        <w:tc>
          <w:tcPr>
            <w:tcW w:type="dxa" w:w="1728"/>
          </w:tcPr>
          <w:p>
            <w:r>
              <w:t>22</w:t>
            </w:r>
          </w:p>
        </w:tc>
        <w:tc>
          <w:tcPr>
            <w:tcW w:type="dxa" w:w="1728"/>
          </w:tcPr>
          <w:p>
            <w:r>
              <w:t>420</w:t>
            </w:r>
          </w:p>
        </w:tc>
        <w:tc>
          <w:tcPr>
            <w:tcW w:type="dxa" w:w="1728"/>
          </w:tcPr>
          <w:p>
            <w:r>
              <w:t>1,323</w:t>
            </w:r>
          </w:p>
        </w:tc>
        <w:tc>
          <w:tcPr>
            <w:tcW w:type="dxa" w:w="1728"/>
          </w:tcPr>
          <w:p>
            <w:r>
              <w:t>$555,660</w:t>
            </w:r>
          </w:p>
        </w:tc>
        <w:tc>
          <w:tcPr>
            <w:tcW w:type="dxa" w:w="1728"/>
          </w:tcPr>
          <w:p>
            <w:r>
              <w:t>$527,877</w:t>
            </w:r>
          </w:p>
        </w:tc>
      </w:tr>
      <w:tr>
        <w:tc>
          <w:tcPr>
            <w:tcW w:type="dxa" w:w="1728"/>
          </w:tcPr>
          <w:p>
            <w:r>
              <w:t>23</w:t>
            </w:r>
          </w:p>
        </w:tc>
        <w:tc>
          <w:tcPr>
            <w:tcW w:type="dxa" w:w="1728"/>
          </w:tcPr>
          <w:p>
            <w:r>
              <w:t>532</w:t>
            </w:r>
          </w:p>
        </w:tc>
        <w:tc>
          <w:tcPr>
            <w:tcW w:type="dxa" w:w="1728"/>
          </w:tcPr>
          <w:p>
            <w:r>
              <w:t>1,150</w:t>
            </w:r>
          </w:p>
        </w:tc>
        <w:tc>
          <w:tcPr>
            <w:tcW w:type="dxa" w:w="1728"/>
          </w:tcPr>
          <w:p>
            <w:r>
              <w:t>$611,800</w:t>
            </w:r>
          </w:p>
        </w:tc>
        <w:tc>
          <w:tcPr>
            <w:tcW w:type="dxa" w:w="1728"/>
          </w:tcPr>
          <w:p>
            <w:r>
              <w:t>$581,210</w:t>
            </w:r>
          </w:p>
        </w:tc>
      </w:tr>
      <w:tr>
        <w:tc>
          <w:tcPr>
            <w:tcW w:type="dxa" w:w="1728"/>
          </w:tcPr>
          <w:p>
            <w:r>
              <w:t>24</w:t>
            </w:r>
          </w:p>
        </w:tc>
        <w:tc>
          <w:tcPr>
            <w:tcW w:type="dxa" w:w="1728"/>
          </w:tcPr>
          <w:p>
            <w:r>
              <w:t>311</w:t>
            </w:r>
          </w:p>
        </w:tc>
        <w:tc>
          <w:tcPr>
            <w:tcW w:type="dxa" w:w="1728"/>
          </w:tcPr>
          <w:p>
            <w:r>
              <w:t>1,617</w:t>
            </w:r>
          </w:p>
        </w:tc>
        <w:tc>
          <w:tcPr>
            <w:tcW w:type="dxa" w:w="1728"/>
          </w:tcPr>
          <w:p>
            <w:r>
              <w:t>$502,887</w:t>
            </w:r>
          </w:p>
        </w:tc>
        <w:tc>
          <w:tcPr>
            <w:tcW w:type="dxa" w:w="1728"/>
          </w:tcPr>
          <w:p>
            <w:r>
              <w:t>$477,743</w:t>
            </w:r>
          </w:p>
        </w:tc>
      </w:tr>
      <w:tr>
        <w:tc>
          <w:tcPr>
            <w:tcW w:type="dxa" w:w="1728"/>
          </w:tcPr>
          <w:p>
            <w:r>
              <w:t>25</w:t>
            </w:r>
          </w:p>
        </w:tc>
        <w:tc>
          <w:tcPr>
            <w:tcW w:type="dxa" w:w="1728"/>
          </w:tcPr>
          <w:p>
            <w:r>
              <w:t>311</w:t>
            </w:r>
          </w:p>
        </w:tc>
        <w:tc>
          <w:tcPr>
            <w:tcW w:type="dxa" w:w="1728"/>
          </w:tcPr>
          <w:p>
            <w:r>
              <w:t>1,617</w:t>
            </w:r>
          </w:p>
        </w:tc>
        <w:tc>
          <w:tcPr>
            <w:tcW w:type="dxa" w:w="1728"/>
          </w:tcPr>
          <w:p>
            <w:r>
              <w:t>$502,887</w:t>
            </w:r>
          </w:p>
        </w:tc>
        <w:tc>
          <w:tcPr>
            <w:tcW w:type="dxa" w:w="1728"/>
          </w:tcPr>
          <w:p>
            <w:r>
              <w:t>$477,743</w:t>
            </w:r>
          </w:p>
        </w:tc>
      </w:tr>
      <w:tr>
        <w:tc>
          <w:tcPr>
            <w:tcW w:type="dxa" w:w="1728"/>
          </w:tcPr>
          <w:p>
            <w:r>
              <w:t>26</w:t>
            </w:r>
          </w:p>
        </w:tc>
        <w:tc>
          <w:tcPr>
            <w:tcW w:type="dxa" w:w="1728"/>
          </w:tcPr>
          <w:p>
            <w:r>
              <w:t>296</w:t>
            </w:r>
          </w:p>
        </w:tc>
        <w:tc>
          <w:tcPr>
            <w:tcW w:type="dxa" w:w="1728"/>
          </w:tcPr>
          <w:p>
            <w:r>
              <w:t>1,666</w:t>
            </w:r>
          </w:p>
        </w:tc>
        <w:tc>
          <w:tcPr>
            <w:tcW w:type="dxa" w:w="1728"/>
          </w:tcPr>
          <w:p>
            <w:r>
              <w:t>$493,136</w:t>
            </w:r>
          </w:p>
        </w:tc>
        <w:tc>
          <w:tcPr>
            <w:tcW w:type="dxa" w:w="1728"/>
          </w:tcPr>
          <w:p>
            <w:r>
              <w:t>$468,479</w:t>
            </w:r>
          </w:p>
        </w:tc>
      </w:tr>
      <w:tr>
        <w:tc>
          <w:tcPr>
            <w:tcW w:type="dxa" w:w="1728"/>
          </w:tcPr>
          <w:p>
            <w:r>
              <w:t>27</w:t>
            </w:r>
          </w:p>
        </w:tc>
        <w:tc>
          <w:tcPr>
            <w:tcW w:type="dxa" w:w="1728"/>
          </w:tcPr>
          <w:p>
            <w:r>
              <w:t>335</w:t>
            </w:r>
          </w:p>
        </w:tc>
        <w:tc>
          <w:tcPr>
            <w:tcW w:type="dxa" w:w="1728"/>
          </w:tcPr>
          <w:p>
            <w:r>
              <w:t>1,585</w:t>
            </w:r>
          </w:p>
        </w:tc>
        <w:tc>
          <w:tcPr>
            <w:tcW w:type="dxa" w:w="1728"/>
          </w:tcPr>
          <w:p>
            <w:r>
              <w:t>$530,975</w:t>
            </w:r>
          </w:p>
        </w:tc>
        <w:tc>
          <w:tcPr>
            <w:tcW w:type="dxa" w:w="1728"/>
          </w:tcPr>
          <w:p>
            <w:r>
              <w:t>$504,426</w:t>
            </w:r>
          </w:p>
        </w:tc>
      </w:tr>
      <w:tr>
        <w:tc>
          <w:tcPr>
            <w:tcW w:type="dxa" w:w="1728"/>
          </w:tcPr>
          <w:p>
            <w:r>
              <w:t>28</w:t>
            </w:r>
          </w:p>
        </w:tc>
        <w:tc>
          <w:tcPr>
            <w:tcW w:type="dxa" w:w="1728"/>
          </w:tcPr>
          <w:p>
            <w:r>
              <w:t>296</w:t>
            </w:r>
          </w:p>
        </w:tc>
        <w:tc>
          <w:tcPr>
            <w:tcW w:type="dxa" w:w="1728"/>
          </w:tcPr>
          <w:p>
            <w:r>
              <w:t>1,666</w:t>
            </w:r>
          </w:p>
        </w:tc>
        <w:tc>
          <w:tcPr>
            <w:tcW w:type="dxa" w:w="1728"/>
          </w:tcPr>
          <w:p>
            <w:r>
              <w:t>$493,136</w:t>
            </w:r>
          </w:p>
        </w:tc>
        <w:tc>
          <w:tcPr>
            <w:tcW w:type="dxa" w:w="1728"/>
          </w:tcPr>
          <w:p>
            <w:r>
              <w:t>$468,479</w:t>
            </w:r>
          </w:p>
        </w:tc>
      </w:tr>
      <w:tr>
        <w:tc>
          <w:tcPr>
            <w:tcW w:type="dxa" w:w="1728"/>
          </w:tcPr>
          <w:p>
            <w:r>
              <w:t>29</w:t>
            </w:r>
          </w:p>
        </w:tc>
        <w:tc>
          <w:tcPr>
            <w:tcW w:type="dxa" w:w="1728"/>
          </w:tcPr>
          <w:p>
            <w:r>
              <w:t>296</w:t>
            </w:r>
          </w:p>
        </w:tc>
        <w:tc>
          <w:tcPr>
            <w:tcW w:type="dxa" w:w="1728"/>
          </w:tcPr>
          <w:p>
            <w:r>
              <w:t>1,666</w:t>
            </w:r>
          </w:p>
        </w:tc>
        <w:tc>
          <w:tcPr>
            <w:tcW w:type="dxa" w:w="1728"/>
          </w:tcPr>
          <w:p>
            <w:r>
              <w:t>$493,136</w:t>
            </w:r>
          </w:p>
        </w:tc>
        <w:tc>
          <w:tcPr>
            <w:tcW w:type="dxa" w:w="1728"/>
          </w:tcPr>
          <w:p>
            <w:r>
              <w:t>$468,479</w:t>
            </w:r>
          </w:p>
        </w:tc>
      </w:tr>
      <w:tr>
        <w:tc>
          <w:tcPr>
            <w:tcW w:type="dxa" w:w="1728"/>
          </w:tcPr>
          <w:p>
            <w:r>
              <w:t>30</w:t>
            </w:r>
          </w:p>
        </w:tc>
        <w:tc>
          <w:tcPr>
            <w:tcW w:type="dxa" w:w="1728"/>
          </w:tcPr>
          <w:p>
            <w:r>
              <w:t>344</w:t>
            </w:r>
          </w:p>
        </w:tc>
        <w:tc>
          <w:tcPr>
            <w:tcW w:type="dxa" w:w="1728"/>
          </w:tcPr>
          <w:p>
            <w:r>
              <w:t>1,564</w:t>
            </w:r>
          </w:p>
        </w:tc>
        <w:tc>
          <w:tcPr>
            <w:tcW w:type="dxa" w:w="1728"/>
          </w:tcPr>
          <w:p>
            <w:r>
              <w:t>$538,016</w:t>
            </w:r>
          </w:p>
        </w:tc>
        <w:tc>
          <w:tcPr>
            <w:tcW w:type="dxa" w:w="1728"/>
          </w:tcPr>
          <w:p>
            <w:r>
              <w:t>$511,115</w:t>
            </w:r>
          </w:p>
        </w:tc>
      </w:tr>
      <w:tr>
        <w:tc>
          <w:tcPr>
            <w:tcW w:type="dxa" w:w="1728"/>
          </w:tcPr>
          <w:p>
            <w:r>
              <w:t>31</w:t>
            </w:r>
          </w:p>
        </w:tc>
        <w:tc>
          <w:tcPr>
            <w:tcW w:type="dxa" w:w="1728"/>
          </w:tcPr>
          <w:p>
            <w:r>
              <w:t>339</w:t>
            </w:r>
          </w:p>
        </w:tc>
        <w:tc>
          <w:tcPr>
            <w:tcW w:type="dxa" w:w="1728"/>
          </w:tcPr>
          <w:p>
            <w:r>
              <w:t>1,472</w:t>
            </w:r>
          </w:p>
        </w:tc>
        <w:tc>
          <w:tcPr>
            <w:tcW w:type="dxa" w:w="1728"/>
          </w:tcPr>
          <w:p>
            <w:r>
              <w:t>$499,008</w:t>
            </w:r>
          </w:p>
        </w:tc>
        <w:tc>
          <w:tcPr>
            <w:tcW w:type="dxa" w:w="1728"/>
          </w:tcPr>
          <w:p>
            <w:r>
              <w:t>$474,058</w:t>
            </w:r>
          </w:p>
        </w:tc>
      </w:tr>
      <w:tr>
        <w:tc>
          <w:tcPr>
            <w:tcW w:type="dxa" w:w="1728"/>
          </w:tcPr>
          <w:p>
            <w:r>
              <w:t>32</w:t>
            </w:r>
          </w:p>
        </w:tc>
        <w:tc>
          <w:tcPr>
            <w:tcW w:type="dxa" w:w="1728"/>
          </w:tcPr>
          <w:p>
            <w:r>
              <w:t>367</w:t>
            </w:r>
          </w:p>
        </w:tc>
        <w:tc>
          <w:tcPr>
            <w:tcW w:type="dxa" w:w="1728"/>
          </w:tcPr>
          <w:p>
            <w:r>
              <w:t>1,408</w:t>
            </w:r>
          </w:p>
        </w:tc>
        <w:tc>
          <w:tcPr>
            <w:tcW w:type="dxa" w:w="1728"/>
          </w:tcPr>
          <w:p>
            <w:r>
              <w:t>$516,736</w:t>
            </w:r>
          </w:p>
        </w:tc>
        <w:tc>
          <w:tcPr>
            <w:tcW w:type="dxa" w:w="1728"/>
          </w:tcPr>
          <w:p>
            <w:r>
              <w:t>$490,899</w:t>
            </w:r>
          </w:p>
        </w:tc>
      </w:tr>
      <w:tr>
        <w:tc>
          <w:tcPr>
            <w:tcW w:type="dxa" w:w="1728"/>
          </w:tcPr>
          <w:p>
            <w:r>
              <w:t>33</w:t>
            </w:r>
          </w:p>
        </w:tc>
        <w:tc>
          <w:tcPr>
            <w:tcW w:type="dxa" w:w="1728"/>
          </w:tcPr>
          <w:p>
            <w:r>
              <w:t>469</w:t>
            </w:r>
          </w:p>
        </w:tc>
        <w:tc>
          <w:tcPr>
            <w:tcW w:type="dxa" w:w="1728"/>
          </w:tcPr>
          <w:p>
            <w:r>
              <w:t>1,250</w:t>
            </w:r>
          </w:p>
        </w:tc>
        <w:tc>
          <w:tcPr>
            <w:tcW w:type="dxa" w:w="1728"/>
          </w:tcPr>
          <w:p>
            <w:r>
              <w:t>$586,250</w:t>
            </w:r>
          </w:p>
        </w:tc>
        <w:tc>
          <w:tcPr>
            <w:tcW w:type="dxa" w:w="1728"/>
          </w:tcPr>
          <w:p>
            <w:r>
              <w:t>$556,938</w:t>
            </w:r>
          </w:p>
        </w:tc>
      </w:tr>
      <w:tr>
        <w:tc>
          <w:tcPr>
            <w:tcW w:type="dxa" w:w="1728"/>
          </w:tcPr>
          <w:p>
            <w:r>
              <w:t>34</w:t>
            </w:r>
          </w:p>
        </w:tc>
        <w:tc>
          <w:tcPr>
            <w:tcW w:type="dxa" w:w="1728"/>
          </w:tcPr>
          <w:p>
            <w:r>
              <w:t>390</w:t>
            </w:r>
          </w:p>
        </w:tc>
        <w:tc>
          <w:tcPr>
            <w:tcW w:type="dxa" w:w="1728"/>
          </w:tcPr>
          <w:p>
            <w:r>
              <w:t>1,425</w:t>
            </w:r>
          </w:p>
        </w:tc>
        <w:tc>
          <w:tcPr>
            <w:tcW w:type="dxa" w:w="1728"/>
          </w:tcPr>
          <w:p>
            <w:r>
              <w:t>$555,750</w:t>
            </w:r>
          </w:p>
        </w:tc>
        <w:tc>
          <w:tcPr>
            <w:tcW w:type="dxa" w:w="1728"/>
          </w:tcPr>
          <w:p>
            <w:r>
              <w:t>$527,963</w:t>
            </w:r>
          </w:p>
        </w:tc>
      </w:tr>
      <w:tr>
        <w:tc>
          <w:tcPr>
            <w:tcW w:type="dxa" w:w="1728"/>
          </w:tcPr>
          <w:p>
            <w:r>
              <w:t>35</w:t>
            </w:r>
          </w:p>
        </w:tc>
        <w:tc>
          <w:tcPr>
            <w:tcW w:type="dxa" w:w="1728"/>
          </w:tcPr>
          <w:p>
            <w:r>
              <w:t>390</w:t>
            </w:r>
          </w:p>
        </w:tc>
        <w:tc>
          <w:tcPr>
            <w:tcW w:type="dxa" w:w="1728"/>
          </w:tcPr>
          <w:p>
            <w:r>
              <w:t>1,425</w:t>
            </w:r>
          </w:p>
        </w:tc>
        <w:tc>
          <w:tcPr>
            <w:tcW w:type="dxa" w:w="1728"/>
          </w:tcPr>
          <w:p>
            <w:r>
              <w:t>$555,750</w:t>
            </w:r>
          </w:p>
        </w:tc>
        <w:tc>
          <w:tcPr>
            <w:tcW w:type="dxa" w:w="1728"/>
          </w:tcPr>
          <w:p>
            <w:r>
              <w:t>$527,963</w:t>
            </w:r>
          </w:p>
        </w:tc>
      </w:tr>
      <w:tr>
        <w:tc>
          <w:tcPr>
            <w:tcW w:type="dxa" w:w="1728"/>
          </w:tcPr>
          <w:p>
            <w:r>
              <w:t>36</w:t>
            </w:r>
          </w:p>
        </w:tc>
        <w:tc>
          <w:tcPr>
            <w:tcW w:type="dxa" w:w="1728"/>
          </w:tcPr>
          <w:p>
            <w:r>
              <w:t>381</w:t>
            </w:r>
          </w:p>
        </w:tc>
        <w:tc>
          <w:tcPr>
            <w:tcW w:type="dxa" w:w="1728"/>
          </w:tcPr>
          <w:p>
            <w:r>
              <w:t>1,331</w:t>
            </w:r>
          </w:p>
        </w:tc>
        <w:tc>
          <w:tcPr>
            <w:tcW w:type="dxa" w:w="1728"/>
          </w:tcPr>
          <w:p>
            <w:r>
              <w:t>$507,111</w:t>
            </w:r>
          </w:p>
        </w:tc>
        <w:tc>
          <w:tcPr>
            <w:tcW w:type="dxa" w:w="1728"/>
          </w:tcPr>
          <w:p>
            <w:r>
              <w:t>$481,755</w:t>
            </w:r>
          </w:p>
        </w:tc>
      </w:tr>
      <w:tr>
        <w:tc>
          <w:tcPr>
            <w:tcW w:type="dxa" w:w="1728"/>
          </w:tcPr>
          <w:p>
            <w:r>
              <w:t>37</w:t>
            </w:r>
          </w:p>
        </w:tc>
        <w:tc>
          <w:tcPr>
            <w:tcW w:type="dxa" w:w="1728"/>
          </w:tcPr>
          <w:p>
            <w:r>
              <w:t>303</w:t>
            </w:r>
          </w:p>
        </w:tc>
        <w:tc>
          <w:tcPr>
            <w:tcW w:type="dxa" w:w="1728"/>
          </w:tcPr>
          <w:p>
            <w:r>
              <w:t>1,683</w:t>
            </w:r>
          </w:p>
        </w:tc>
        <w:tc>
          <w:tcPr>
            <w:tcW w:type="dxa" w:w="1728"/>
          </w:tcPr>
          <w:p>
            <w:r>
              <w:t>$509,949</w:t>
            </w:r>
          </w:p>
        </w:tc>
        <w:tc>
          <w:tcPr>
            <w:tcW w:type="dxa" w:w="1728"/>
          </w:tcPr>
          <w:p>
            <w:r>
              <w:t>$484,452</w:t>
            </w:r>
          </w:p>
        </w:tc>
      </w:tr>
      <w:tr>
        <w:tc>
          <w:tcPr>
            <w:tcW w:type="dxa" w:w="1728"/>
          </w:tcPr>
          <w:p>
            <w:r>
              <w:t>38</w:t>
            </w:r>
          </w:p>
        </w:tc>
        <w:tc>
          <w:tcPr>
            <w:tcW w:type="dxa" w:w="1728"/>
          </w:tcPr>
          <w:p>
            <w:r>
              <w:t>300</w:t>
            </w:r>
          </w:p>
        </w:tc>
        <w:tc>
          <w:tcPr>
            <w:tcW w:type="dxa" w:w="1728"/>
          </w:tcPr>
          <w:p>
            <w:r>
              <w:t>1,693</w:t>
            </w:r>
          </w:p>
        </w:tc>
        <w:tc>
          <w:tcPr>
            <w:tcW w:type="dxa" w:w="1728"/>
          </w:tcPr>
          <w:p>
            <w:r>
              <w:t>$507,900</w:t>
            </w:r>
          </w:p>
        </w:tc>
        <w:tc>
          <w:tcPr>
            <w:tcW w:type="dxa" w:w="1728"/>
          </w:tcPr>
          <w:p>
            <w:r>
              <w:t>$482,505</w:t>
            </w:r>
          </w:p>
        </w:tc>
      </w:tr>
      <w:tr>
        <w:tc>
          <w:tcPr>
            <w:tcW w:type="dxa" w:w="1728"/>
          </w:tcPr>
          <w:p>
            <w:r>
              <w:t>39</w:t>
            </w:r>
          </w:p>
        </w:tc>
        <w:tc>
          <w:tcPr>
            <w:tcW w:type="dxa" w:w="1728"/>
          </w:tcPr>
          <w:p>
            <w:r>
              <w:t>300</w:t>
            </w:r>
          </w:p>
        </w:tc>
        <w:tc>
          <w:tcPr>
            <w:tcW w:type="dxa" w:w="1728"/>
          </w:tcPr>
          <w:p>
            <w:r>
              <w:t>1,693</w:t>
            </w:r>
          </w:p>
        </w:tc>
        <w:tc>
          <w:tcPr>
            <w:tcW w:type="dxa" w:w="1728"/>
          </w:tcPr>
          <w:p>
            <w:r>
              <w:t>$507,900</w:t>
            </w:r>
          </w:p>
        </w:tc>
        <w:tc>
          <w:tcPr>
            <w:tcW w:type="dxa" w:w="1728"/>
          </w:tcPr>
          <w:p>
            <w:r>
              <w:t>$482,505</w:t>
            </w:r>
          </w:p>
        </w:tc>
      </w:tr>
      <w:tr>
        <w:tc>
          <w:tcPr>
            <w:tcW w:type="dxa" w:w="1728"/>
          </w:tcPr>
          <w:p>
            <w:r>
              <w:t>40</w:t>
            </w:r>
          </w:p>
        </w:tc>
        <w:tc>
          <w:tcPr>
            <w:tcW w:type="dxa" w:w="1728"/>
          </w:tcPr>
          <w:p>
            <w:r>
              <w:t>350</w:t>
            </w:r>
          </w:p>
        </w:tc>
        <w:tc>
          <w:tcPr>
            <w:tcW w:type="dxa" w:w="1728"/>
          </w:tcPr>
          <w:p>
            <w:r>
              <w:t>1,560</w:t>
            </w:r>
          </w:p>
        </w:tc>
        <w:tc>
          <w:tcPr>
            <w:tcW w:type="dxa" w:w="1728"/>
          </w:tcPr>
          <w:p>
            <w:r>
              <w:t>$546,000</w:t>
            </w:r>
          </w:p>
        </w:tc>
        <w:tc>
          <w:tcPr>
            <w:tcW w:type="dxa" w:w="1728"/>
          </w:tcPr>
          <w:p>
            <w:r>
              <w:t>$518,700</w:t>
            </w:r>
          </w:p>
        </w:tc>
      </w:tr>
      <w:tr>
        <w:tc>
          <w:tcPr>
            <w:tcW w:type="dxa" w:w="1728"/>
          </w:tcPr>
          <w:p>
            <w:r>
              <w:t>41</w:t>
            </w:r>
          </w:p>
        </w:tc>
        <w:tc>
          <w:tcPr>
            <w:tcW w:type="dxa" w:w="1728"/>
          </w:tcPr>
          <w:p>
            <w:r>
              <w:t>300</w:t>
            </w:r>
          </w:p>
        </w:tc>
        <w:tc>
          <w:tcPr>
            <w:tcW w:type="dxa" w:w="1728"/>
          </w:tcPr>
          <w:p>
            <w:r>
              <w:t>1,693</w:t>
            </w:r>
          </w:p>
        </w:tc>
        <w:tc>
          <w:tcPr>
            <w:tcW w:type="dxa" w:w="1728"/>
          </w:tcPr>
          <w:p>
            <w:r>
              <w:t>$507,900</w:t>
            </w:r>
          </w:p>
        </w:tc>
        <w:tc>
          <w:tcPr>
            <w:tcW w:type="dxa" w:w="1728"/>
          </w:tcPr>
          <w:p>
            <w:r>
              <w:t>$482,505</w:t>
            </w:r>
          </w:p>
        </w:tc>
      </w:tr>
      <w:tr>
        <w:tc>
          <w:tcPr>
            <w:tcW w:type="dxa" w:w="1728"/>
          </w:tcPr>
          <w:p>
            <w:r>
              <w:t>42</w:t>
            </w:r>
          </w:p>
        </w:tc>
        <w:tc>
          <w:tcPr>
            <w:tcW w:type="dxa" w:w="1728"/>
          </w:tcPr>
          <w:p>
            <w:r>
              <w:t>300</w:t>
            </w:r>
          </w:p>
        </w:tc>
        <w:tc>
          <w:tcPr>
            <w:tcW w:type="dxa" w:w="1728"/>
          </w:tcPr>
          <w:p>
            <w:r>
              <w:t>1,687</w:t>
            </w:r>
          </w:p>
        </w:tc>
        <w:tc>
          <w:tcPr>
            <w:tcW w:type="dxa" w:w="1728"/>
          </w:tcPr>
          <w:p>
            <w:r>
              <w:t>$506,100</w:t>
            </w:r>
          </w:p>
        </w:tc>
        <w:tc>
          <w:tcPr>
            <w:tcW w:type="dxa" w:w="1728"/>
          </w:tcPr>
          <w:p>
            <w:r>
              <w:t>$480,795</w:t>
            </w:r>
          </w:p>
        </w:tc>
      </w:tr>
      <w:tr>
        <w:tc>
          <w:tcPr>
            <w:tcW w:type="dxa" w:w="1728"/>
          </w:tcPr>
          <w:p>
            <w:r>
              <w:t>43</w:t>
            </w:r>
          </w:p>
        </w:tc>
        <w:tc>
          <w:tcPr>
            <w:tcW w:type="dxa" w:w="1728"/>
          </w:tcPr>
          <w:p>
            <w:r>
              <w:t>351</w:t>
            </w:r>
          </w:p>
        </w:tc>
        <w:tc>
          <w:tcPr>
            <w:tcW w:type="dxa" w:w="1728"/>
          </w:tcPr>
          <w:p>
            <w:r>
              <w:t>1,556</w:t>
            </w:r>
          </w:p>
        </w:tc>
        <w:tc>
          <w:tcPr>
            <w:tcW w:type="dxa" w:w="1728"/>
          </w:tcPr>
          <w:p>
            <w:r>
              <w:t>$546,156</w:t>
            </w:r>
          </w:p>
        </w:tc>
        <w:tc>
          <w:tcPr>
            <w:tcW w:type="dxa" w:w="1728"/>
          </w:tcPr>
          <w:p>
            <w:r>
              <w:t>$518,848</w:t>
            </w:r>
          </w:p>
        </w:tc>
      </w:tr>
      <w:tr>
        <w:tc>
          <w:tcPr>
            <w:tcW w:type="dxa" w:w="1728"/>
          </w:tcPr>
          <w:p>
            <w:r>
              <w:t>44</w:t>
            </w:r>
          </w:p>
        </w:tc>
        <w:tc>
          <w:tcPr>
            <w:tcW w:type="dxa" w:w="1728"/>
          </w:tcPr>
          <w:p>
            <w:r>
              <w:t>252</w:t>
            </w:r>
          </w:p>
        </w:tc>
        <w:tc>
          <w:tcPr>
            <w:tcW w:type="dxa" w:w="1728"/>
          </w:tcPr>
          <w:p>
            <w:r>
              <w:t>1,829</w:t>
            </w:r>
          </w:p>
        </w:tc>
        <w:tc>
          <w:tcPr>
            <w:tcW w:type="dxa" w:w="1728"/>
          </w:tcPr>
          <w:p>
            <w:r>
              <w:t>$460,908</w:t>
            </w:r>
          </w:p>
        </w:tc>
        <w:tc>
          <w:tcPr>
            <w:tcW w:type="dxa" w:w="1728"/>
          </w:tcPr>
          <w:p>
            <w:r>
              <w:t>$437,863</w:t>
            </w:r>
          </w:p>
        </w:tc>
      </w:tr>
      <w:tr>
        <w:tc>
          <w:tcPr>
            <w:tcW w:type="dxa" w:w="1728"/>
          </w:tcPr>
          <w:p>
            <w:r>
              <w:t>45</w:t>
            </w:r>
          </w:p>
        </w:tc>
        <w:tc>
          <w:tcPr>
            <w:tcW w:type="dxa" w:w="1728"/>
          </w:tcPr>
          <w:p>
            <w:r>
              <w:t>390</w:t>
            </w:r>
          </w:p>
        </w:tc>
        <w:tc>
          <w:tcPr>
            <w:tcW w:type="dxa" w:w="1728"/>
          </w:tcPr>
          <w:p>
            <w:r>
              <w:t>1,331</w:t>
            </w:r>
          </w:p>
        </w:tc>
        <w:tc>
          <w:tcPr>
            <w:tcW w:type="dxa" w:w="1728"/>
          </w:tcPr>
          <w:p>
            <w:r>
              <w:t>$519,090</w:t>
            </w:r>
          </w:p>
        </w:tc>
        <w:tc>
          <w:tcPr>
            <w:tcW w:type="dxa" w:w="1728"/>
          </w:tcPr>
          <w:p>
            <w:r>
              <w:t>$493,136</w:t>
            </w:r>
          </w:p>
        </w:tc>
      </w:tr>
      <w:tr>
        <w:tc>
          <w:tcPr>
            <w:tcW w:type="dxa" w:w="1728"/>
          </w:tcPr>
          <w:p>
            <w:r>
              <w:t>46</w:t>
            </w:r>
          </w:p>
        </w:tc>
        <w:tc>
          <w:tcPr>
            <w:tcW w:type="dxa" w:w="1728"/>
          </w:tcPr>
          <w:p>
            <w:r>
              <w:t>398</w:t>
            </w:r>
          </w:p>
        </w:tc>
        <w:tc>
          <w:tcPr>
            <w:tcW w:type="dxa" w:w="1728"/>
          </w:tcPr>
          <w:p>
            <w:r>
              <w:t>1,400</w:t>
            </w:r>
          </w:p>
        </w:tc>
        <w:tc>
          <w:tcPr>
            <w:tcW w:type="dxa" w:w="1728"/>
          </w:tcPr>
          <w:p>
            <w:r>
              <w:t>$557,200</w:t>
            </w:r>
          </w:p>
        </w:tc>
        <w:tc>
          <w:tcPr>
            <w:tcW w:type="dxa" w:w="1728"/>
          </w:tcPr>
          <w:p>
            <w:r>
              <w:t>$529,340</w:t>
            </w:r>
          </w:p>
        </w:tc>
      </w:tr>
      <w:tr>
        <w:tc>
          <w:tcPr>
            <w:tcW w:type="dxa" w:w="1728"/>
          </w:tcPr>
          <w:p>
            <w:r>
              <w:t>47</w:t>
            </w:r>
          </w:p>
        </w:tc>
        <w:tc>
          <w:tcPr>
            <w:tcW w:type="dxa" w:w="1728"/>
          </w:tcPr>
          <w:p>
            <w:r>
              <w:t>447</w:t>
            </w:r>
          </w:p>
        </w:tc>
        <w:tc>
          <w:tcPr>
            <w:tcW w:type="dxa" w:w="1728"/>
          </w:tcPr>
          <w:p>
            <w:r>
              <w:t>1,250</w:t>
            </w:r>
          </w:p>
        </w:tc>
        <w:tc>
          <w:tcPr>
            <w:tcW w:type="dxa" w:w="1728"/>
          </w:tcPr>
          <w:p>
            <w:r>
              <w:t>$558,750</w:t>
            </w:r>
          </w:p>
        </w:tc>
        <w:tc>
          <w:tcPr>
            <w:tcW w:type="dxa" w:w="1728"/>
          </w:tcPr>
          <w:p>
            <w:r>
              <w:t>$530,813</w:t>
            </w:r>
          </w:p>
        </w:tc>
      </w:tr>
      <w:tr>
        <w:tc>
          <w:tcPr>
            <w:tcW w:type="dxa" w:w="1728"/>
          </w:tcPr>
          <w:p>
            <w:r>
              <w:t>48</w:t>
            </w:r>
          </w:p>
        </w:tc>
        <w:tc>
          <w:tcPr>
            <w:tcW w:type="dxa" w:w="1728"/>
          </w:tcPr>
          <w:p>
            <w:r>
              <w:t>485</w:t>
            </w:r>
          </w:p>
        </w:tc>
        <w:tc>
          <w:tcPr>
            <w:tcW w:type="dxa" w:w="1728"/>
          </w:tcPr>
          <w:p>
            <w:r>
              <w:t>1,200</w:t>
            </w:r>
          </w:p>
        </w:tc>
        <w:tc>
          <w:tcPr>
            <w:tcW w:type="dxa" w:w="1728"/>
          </w:tcPr>
          <w:p>
            <w:r>
              <w:t>$582,000</w:t>
            </w:r>
          </w:p>
        </w:tc>
        <w:tc>
          <w:tcPr>
            <w:tcW w:type="dxa" w:w="1728"/>
          </w:tcPr>
          <w:p>
            <w:r>
              <w:t>$552,900</w:t>
            </w:r>
          </w:p>
        </w:tc>
      </w:tr>
      <w:tr>
        <w:tc>
          <w:tcPr>
            <w:tcW w:type="dxa" w:w="1728"/>
          </w:tcPr>
          <w:p>
            <w:r>
              <w:t>GRV</w:t>
            </w:r>
          </w:p>
        </w:tc>
        <w:tc>
          <w:tcPr>
            <w:tcW w:type="dxa" w:w="1728"/>
          </w:tcPr>
          <w:p>
            <w:r/>
          </w:p>
        </w:tc>
        <w:tc>
          <w:tcPr>
            <w:tcW w:type="dxa" w:w="1728"/>
          </w:tcPr>
          <w:p>
            <w:r/>
          </w:p>
        </w:tc>
        <w:tc>
          <w:tcPr>
            <w:tcW w:type="dxa" w:w="1728"/>
          </w:tcPr>
          <w:p>
            <w:r>
              <w:t>$24,395,390</w:t>
            </w:r>
          </w:p>
        </w:tc>
        <w:tc>
          <w:tcPr>
            <w:tcW w:type="dxa" w:w="1728"/>
          </w:tcPr>
          <w:p>
            <w:r>
              <w:t>$23,175,621</w:t>
            </w:r>
          </w:p>
        </w:tc>
      </w:tr>
    </w:tbl>
    <w:p>
      <w:pPr>
        <w:pStyle w:val="Heading1"/>
      </w:pPr>
      <w:r>
        <w:t>Projected Revenue and Profit</w:t>
      </w:r>
    </w:p>
    <w:p>
      <w:r>
        <w:t>Forecast pricing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Values</w:t>
            </w:r>
          </w:p>
        </w:tc>
        <w:tc>
          <w:tcPr>
            <w:tcW w:type="dxa" w:w="4320"/>
          </w:tcPr>
          <w:p>
            <w:r>
              <w:rPr>
                <w:b/>
              </w:rPr>
              <w:t>Amount</w:t>
            </w:r>
          </w:p>
        </w:tc>
      </w:tr>
      <w:tr>
        <w:tc>
          <w:tcPr>
            <w:tcW w:type="dxa" w:w="4320"/>
          </w:tcPr>
          <w:p>
            <w:r>
              <w:t>Projected Revenue</w:t>
            </w:r>
          </w:p>
        </w:tc>
        <w:tc>
          <w:tcPr>
            <w:tcW w:type="dxa" w:w="4320"/>
          </w:tcPr>
          <w:p>
            <w:r>
              <w:t>$24,395,390</w:t>
            </w:r>
          </w:p>
        </w:tc>
      </w:tr>
      <w:tr>
        <w:tc>
          <w:tcPr>
            <w:tcW w:type="dxa" w:w="4320"/>
          </w:tcPr>
          <w:p>
            <w:r>
              <w:t>Profit</w:t>
            </w:r>
          </w:p>
        </w:tc>
        <w:tc>
          <w:tcPr>
            <w:tcW w:type="dxa" w:w="4320"/>
          </w:tcPr>
          <w:p>
            <w:r>
              <w:t>$5,510,969</w:t>
            </w:r>
          </w:p>
        </w:tc>
      </w:tr>
      <w:tr>
        <w:tc>
          <w:tcPr>
            <w:tcW w:type="dxa" w:w="4320"/>
          </w:tcPr>
          <w:p>
            <w:r>
              <w:t>ROI</w:t>
            </w:r>
          </w:p>
        </w:tc>
        <w:tc>
          <w:tcPr>
            <w:tcW w:type="dxa" w:w="4320"/>
          </w:tcPr>
          <w:p>
            <w:r>
              <w:t>31.81%</w:t>
            </w:r>
          </w:p>
        </w:tc>
      </w:tr>
    </w:tbl>
    <w:p>
      <w:r>
        <w:t>Conservative pricing (−5%)</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Values</w:t>
            </w:r>
          </w:p>
        </w:tc>
        <w:tc>
          <w:tcPr>
            <w:tcW w:type="dxa" w:w="4320"/>
          </w:tcPr>
          <w:p>
            <w:r>
              <w:rPr>
                <w:b/>
              </w:rPr>
              <w:t>Amount</w:t>
            </w:r>
          </w:p>
        </w:tc>
      </w:tr>
      <w:tr>
        <w:tc>
          <w:tcPr>
            <w:tcW w:type="dxa" w:w="4320"/>
          </w:tcPr>
          <w:p>
            <w:r>
              <w:t>Projected Revenue</w:t>
            </w:r>
          </w:p>
        </w:tc>
        <w:tc>
          <w:tcPr>
            <w:tcW w:type="dxa" w:w="4320"/>
          </w:tcPr>
          <w:p>
            <w:r>
              <w:t>$23,175,621</w:t>
            </w:r>
          </w:p>
        </w:tc>
      </w:tr>
      <w:tr>
        <w:tc>
          <w:tcPr>
            <w:tcW w:type="dxa" w:w="4320"/>
          </w:tcPr>
          <w:p>
            <w:r>
              <w:t>Profit</w:t>
            </w:r>
          </w:p>
        </w:tc>
        <w:tc>
          <w:tcPr>
            <w:tcW w:type="dxa" w:w="4320"/>
          </w:tcPr>
          <w:p>
            <w:r>
              <w:t>$4,435,356</w:t>
            </w:r>
          </w:p>
        </w:tc>
      </w:tr>
      <w:tr>
        <w:tc>
          <w:tcPr>
            <w:tcW w:type="dxa" w:w="4320"/>
          </w:tcPr>
          <w:p>
            <w:r>
              <w:t>ROI</w:t>
            </w:r>
          </w:p>
        </w:tc>
        <w:tc>
          <w:tcPr>
            <w:tcW w:type="dxa" w:w="4320"/>
          </w:tcPr>
          <w:p>
            <w:r>
              <w:t>25.65%</w:t>
            </w:r>
          </w:p>
        </w:tc>
      </w:tr>
    </w:tbl>
    <w:p>
      <w:pPr>
        <w:pStyle w:val="Heading1"/>
      </w:pPr>
      <w:r>
        <w:t>Sensitivity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Scenario</w:t>
            </w:r>
          </w:p>
        </w:tc>
        <w:tc>
          <w:tcPr>
            <w:tcW w:type="dxa" w:w="2880"/>
          </w:tcPr>
          <w:p>
            <w:r>
              <w:rPr>
                <w:b/>
              </w:rPr>
              <w:t>Projected Profit</w:t>
            </w:r>
          </w:p>
        </w:tc>
        <w:tc>
          <w:tcPr>
            <w:tcW w:type="dxa" w:w="2880"/>
          </w:tcPr>
          <w:p>
            <w:r>
              <w:rPr>
                <w:b/>
              </w:rPr>
              <w:t>ROI on Cost</w:t>
            </w:r>
          </w:p>
        </w:tc>
      </w:tr>
      <w:tr>
        <w:tc>
          <w:tcPr>
            <w:tcW w:type="dxa" w:w="2880"/>
          </w:tcPr>
          <w:p>
            <w:r>
              <w:t>Base case (forecast pricing)</w:t>
            </w:r>
          </w:p>
        </w:tc>
        <w:tc>
          <w:tcPr>
            <w:tcW w:type="dxa" w:w="2880"/>
          </w:tcPr>
          <w:p>
            <w:r>
              <w:t>$5,510,969</w:t>
            </w:r>
          </w:p>
        </w:tc>
        <w:tc>
          <w:tcPr>
            <w:tcW w:type="dxa" w:w="2880"/>
          </w:tcPr>
          <w:p>
            <w:r>
              <w:t>31.81%</w:t>
            </w:r>
          </w:p>
        </w:tc>
      </w:tr>
      <w:tr>
        <w:tc>
          <w:tcPr>
            <w:tcW w:type="dxa" w:w="2880"/>
          </w:tcPr>
          <w:p>
            <w:r>
              <w:t>Sales prices −5% (conservative)</w:t>
            </w:r>
          </w:p>
        </w:tc>
        <w:tc>
          <w:tcPr>
            <w:tcW w:type="dxa" w:w="2880"/>
          </w:tcPr>
          <w:p>
            <w:r>
              <w:t>$4,435,356</w:t>
            </w:r>
          </w:p>
        </w:tc>
        <w:tc>
          <w:tcPr>
            <w:tcW w:type="dxa" w:w="2880"/>
          </w:tcPr>
          <w:p>
            <w:r>
              <w:t>25.65%</w:t>
            </w:r>
          </w:p>
        </w:tc>
      </w:tr>
      <w:tr>
        <w:tc>
          <w:tcPr>
            <w:tcW w:type="dxa" w:w="2880"/>
          </w:tcPr>
          <w:p>
            <w:r>
              <w:t>Sales prices −10%</w:t>
            </w:r>
          </w:p>
        </w:tc>
        <w:tc>
          <w:tcPr>
            <w:tcW w:type="dxa" w:w="2880"/>
          </w:tcPr>
          <w:p>
            <w:r>
              <w:t>$3,293,207</w:t>
            </w:r>
          </w:p>
        </w:tc>
        <w:tc>
          <w:tcPr>
            <w:tcW w:type="dxa" w:w="2880"/>
          </w:tcPr>
          <w:p>
            <w:r>
              <w:t>19.01%</w:t>
            </w:r>
          </w:p>
        </w:tc>
      </w:tr>
      <w:tr>
        <w:tc>
          <w:tcPr>
            <w:tcW w:type="dxa" w:w="2880"/>
          </w:tcPr>
          <w:p>
            <w:r>
              <w:t>Construction cost +10%</w:t>
            </w:r>
          </w:p>
        </w:tc>
        <w:tc>
          <w:tcPr>
            <w:tcW w:type="dxa" w:w="2880"/>
          </w:tcPr>
          <w:p>
            <w:r>
              <w:t>$5,126,969</w:t>
            </w:r>
          </w:p>
        </w:tc>
        <w:tc>
          <w:tcPr>
            <w:tcW w:type="dxa" w:w="2880"/>
          </w:tcPr>
          <w:p>
            <w:r>
              <w:t>28.95%</w:t>
            </w:r>
          </w:p>
        </w:tc>
      </w:tr>
      <w:tr>
        <w:tc>
          <w:tcPr>
            <w:tcW w:type="dxa" w:w="2880"/>
          </w:tcPr>
          <w:p>
            <w:r>
              <w:t>Holding period +6 months</w:t>
            </w:r>
          </w:p>
        </w:tc>
        <w:tc>
          <w:tcPr>
            <w:tcW w:type="dxa" w:w="2880"/>
          </w:tcPr>
          <w:p>
            <w:r>
              <w:t>$4,895,981</w:t>
            </w:r>
          </w:p>
        </w:tc>
        <w:tc>
          <w:tcPr>
            <w:tcW w:type="dxa" w:w="2880"/>
          </w:tcPr>
          <w:p>
            <w:r>
              <w:t>27.29%</w:t>
            </w:r>
          </w:p>
        </w:tc>
      </w:tr>
      <w:tr>
        <w:tc>
          <w:tcPr>
            <w:tcW w:type="dxa" w:w="2880"/>
          </w:tcPr>
          <w:p>
            <w:r>
              <w:t>Combined downside (−5% sales &amp; +10% construction)</w:t>
            </w:r>
          </w:p>
        </w:tc>
        <w:tc>
          <w:tcPr>
            <w:tcW w:type="dxa" w:w="2880"/>
          </w:tcPr>
          <w:p>
            <w:r>
              <w:t>$4,018,088</w:t>
            </w:r>
          </w:p>
        </w:tc>
        <w:tc>
          <w:tcPr>
            <w:tcW w:type="dxa" w:w="2880"/>
          </w:tcPr>
          <w:p>
            <w:r>
              <w:t>22.69%</w:t>
            </w:r>
          </w:p>
        </w:tc>
      </w:tr>
      <w:tr>
        <w:tc>
          <w:tcPr>
            <w:tcW w:type="dxa" w:w="2880"/>
          </w:tcPr>
          <w:p>
            <w:r>
              <w:t>Combined downside – severe (−10% sales &amp; +10% construction)</w:t>
            </w:r>
          </w:p>
        </w:tc>
        <w:tc>
          <w:tcPr>
            <w:tcW w:type="dxa" w:w="2880"/>
          </w:tcPr>
          <w:p>
            <w:r>
              <w:t>$2,909,207</w:t>
            </w:r>
          </w:p>
        </w:tc>
        <w:tc>
          <w:tcPr>
            <w:tcW w:type="dxa" w:w="2880"/>
          </w:tcPr>
          <w:p>
            <w:r>
              <w:t>16.43%</w:t>
            </w:r>
          </w:p>
        </w:tc>
      </w:tr>
    </w:tbl>
    <w:p>
      <w:r>
        <w:t>Stress-case figures are indicative, derived by adjusting the relevant inputs to the feasibility study.</w:t>
      </w:r>
    </w:p>
    <w:p>
      <w:r>
        <w:t>Summary. The project maintains a positive return across all scenarios modelled, including a severe combined downside (−10% sales and +10% construction), under which it retains a profit of $2,909,207 and an ROI of 16.43%. The base-case ROI of 31.81% provides headroom to absorb adverse conditions. Note, however, that the holding-period sensitivity assumes the financing terms now set out in Funding &amp; Financing; at a 20% pre-DA rate, schedule slippage before the DA decision is a particularly sensitive driver and should be modelled explicitly in the refreshed feasibility.</w:t>
      </w:r>
    </w:p>
    <w:p>
      <w:pPr>
        <w:pStyle w:val="Heading1"/>
      </w:pPr>
      <w:r>
        <w:t>Concept Plan</w:t>
      </w:r>
    </w:p>
    <w:p>
      <w:r>
        <w:t>The concept plan delivers 48 residential allotments as a Community Titles Scheme, accessed via a new private road connecting to Dorset Drive (Modus "Option 3" — the preferred traffic outcome). Engineering documents describe a 10.5m wide road connection with a 6.5m carriageway capable of two-way movement and 12.5m Heavy Rigid Vehicle (waste) servicing, with footpath and landscaping within the common property. (Confirm the final internal road cross-section against prelodgement item 37, which sought a minimum 10m internal road.)</w:t>
      </w:r>
    </w:p>
    <w:p>
      <w:r>
        <w:t>The layout wholly avoids the central portion of the site affected by flooding and overland flow, concentrating developable land outside the constrained area. The existing Council drainage easement (constructed as part of the Torrens Road intersection upgrade) provides a lawful point of discharge, supplemented by four engineered OSD tanks. The plan is consistent with the structure-planning intent discussed at the Prelodgement Meeting (28 January 2026) and refined through subsequent traffic engineering.</w:t>
      </w:r>
    </w:p>
    <w:p>
      <w:r>
        <w:t>Car parking. Council requires visitor parking at 0.5 spaces/lot (24 spaces); the plan allocates 26 spaces, exceeding the requirement.</w:t>
      </w:r>
    </w:p>
    <w:p>
      <w:r>
        <w:t>Density. Land constrained by the drainage easement and the high/medium flood-hazard overlay is excluded from the developable-area calculation. The consolidated developable area across all three parcels is 20,149 m² (2.0149 ha), producing a net density of 23.8 lots/ha — within the precinct's 10–25 lot/ha range. (The earlier 30-lot scheme over Torrens/River alone produced 27.77 lots/ha and was not supported at prelodgement; the three-parcel consolidation and redesign resolved both density and access.)</w:t>
      </w:r>
    </w:p>
    <w:p>
      <w:pPr>
        <w:pStyle w:val="Heading1"/>
      </w:pPr>
      <w:r>
        <w:t>Site Overlays</w:t>
      </w:r>
    </w:p>
    <w:p>
      <w:r>
        <w:t>Flood hazard. The northern central portion of the Torrens Road parcel is affected by the high and medium flood-hazard overlay, within which Council does not permit residential development; the layout is configured accordingly. The applicable Defined Flood Event level is 10.5m AHD and the Flood Planning Level 11.25m AHD (750mm freeboard); allotment fill is designed to at least the adopted FPL. A site-specific Flood Assessment (Bravo Consult, Appendix F) confirms, on 1% AEP modelling, no material worsening of flood behaviour on adjoining or downstream land (level changes within 0.02m, velocity within 0.3m/s), with flood planning levels nominated for habitable floors.</w:t>
      </w:r>
    </w:p>
    <w:p>
      <w:r>
        <w:rPr>
          <w:i/>
        </w:rPr>
        <w:t>Pending flood-model risk. Council has advised (prelodgement items 28–30) that its updated flood modelling is not yet reflected in the adopted Flood Planning Levels and may produce higher present-day flood levels, and that the northern portion has been re-defined from overland flow to medium/high flood hazard. Council "strongly suggests" building to a higher level to avoid being "deemed flood affected at a future date." This is carried into the Risk Analysis.</w:t>
      </w:r>
    </w:p>
    <w:p>
      <w:r>
        <w:t>Overland flow. An overland flow path traverses the central site. The northern flow falls within the area already excluded under the flood overlay; the southern flow is substantially contained within the existing drainage easement, minimising further impact on the developable footprint.</w:t>
      </w:r>
    </w:p>
    <w:p>
      <w:r>
        <w:t>Other overlays identified at prelodgement include Acid Sulfate Soils (ASS report/management plan may be required for works below 5m AHD), Active Transport, Building Heights (max 12m), Road Hierarchy, Stormwater Catchments and Transport Noise Corridors (an acoustic assessment may be required given River Drive).</w:t>
      </w:r>
    </w:p>
    <w:p>
      <w:pPr>
        <w:pStyle w:val="Heading1"/>
      </w:pPr>
      <w:r>
        <w:t>Risk Analysis</w:t>
      </w:r>
    </w:p>
    <w:p>
      <w:r>
        <w:t>Rating methodology: Score = Likelihood (1–5) × Consequence (1–5). Low (1–6), Medium (7–12), High (13–25).</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Risk</w:t>
            </w:r>
          </w:p>
        </w:tc>
        <w:tc>
          <w:tcPr>
            <w:tcW w:type="dxa" w:w="1440"/>
          </w:tcPr>
          <w:p>
            <w:r>
              <w:rPr>
                <w:b/>
              </w:rPr>
              <w:t>Category</w:t>
            </w:r>
          </w:p>
        </w:tc>
        <w:tc>
          <w:tcPr>
            <w:tcW w:type="dxa" w:w="1440"/>
          </w:tcPr>
          <w:p>
            <w:r>
              <w:rPr>
                <w:b/>
              </w:rPr>
              <w:t>L</w:t>
            </w:r>
          </w:p>
        </w:tc>
        <w:tc>
          <w:tcPr>
            <w:tcW w:type="dxa" w:w="1440"/>
          </w:tcPr>
          <w:p>
            <w:r>
              <w:rPr>
                <w:b/>
              </w:rPr>
              <w:t>C</w:t>
            </w:r>
          </w:p>
        </w:tc>
        <w:tc>
          <w:tcPr>
            <w:tcW w:type="dxa" w:w="1440"/>
          </w:tcPr>
          <w:p>
            <w:r>
              <w:rPr>
                <w:b/>
              </w:rPr>
              <w:t>Score</w:t>
            </w:r>
          </w:p>
        </w:tc>
        <w:tc>
          <w:tcPr>
            <w:tcW w:type="dxa" w:w="1440"/>
          </w:tcPr>
          <w:p>
            <w:r>
              <w:rPr>
                <w:b/>
              </w:rPr>
              <w:t>Rating</w:t>
            </w:r>
          </w:p>
        </w:tc>
      </w:tr>
      <w:tr>
        <w:tc>
          <w:tcPr>
            <w:tcW w:type="dxa" w:w="1440"/>
          </w:tcPr>
          <w:p>
            <w:r>
              <w:t>Inability to achieve forecast sale prices</w:t>
            </w:r>
          </w:p>
        </w:tc>
        <w:tc>
          <w:tcPr>
            <w:tcW w:type="dxa" w:w="1440"/>
          </w:tcPr>
          <w:p>
            <w:r>
              <w:t>Market</w:t>
            </w:r>
          </w:p>
        </w:tc>
        <w:tc>
          <w:tcPr>
            <w:tcW w:type="dxa" w:w="1440"/>
          </w:tcPr>
          <w:p>
            <w:r>
              <w:t>3</w:t>
            </w:r>
          </w:p>
        </w:tc>
        <w:tc>
          <w:tcPr>
            <w:tcW w:type="dxa" w:w="1440"/>
          </w:tcPr>
          <w:p>
            <w:r>
              <w:t>3</w:t>
            </w:r>
          </w:p>
        </w:tc>
        <w:tc>
          <w:tcPr>
            <w:tcW w:type="dxa" w:w="1440"/>
          </w:tcPr>
          <w:p>
            <w:r>
              <w:t>9</w:t>
            </w:r>
          </w:p>
        </w:tc>
        <w:tc>
          <w:tcPr>
            <w:tcW w:type="dxa" w:w="1440"/>
          </w:tcPr>
          <w:p>
            <w:r>
              <w:t>Medium</w:t>
            </w:r>
          </w:p>
        </w:tc>
      </w:tr>
      <w:tr>
        <w:tc>
          <w:tcPr>
            <w:tcW w:type="dxa" w:w="1440"/>
          </w:tcPr>
          <w:p>
            <w:r>
              <w:t>Performance-based planning departures (PO4 narrow lots; PO12/Figure 6 road link omitted)</w:t>
            </w:r>
          </w:p>
        </w:tc>
        <w:tc>
          <w:tcPr>
            <w:tcW w:type="dxa" w:w="1440"/>
          </w:tcPr>
          <w:p>
            <w:r>
              <w:t>Regulatory</w:t>
            </w:r>
          </w:p>
        </w:tc>
        <w:tc>
          <w:tcPr>
            <w:tcW w:type="dxa" w:w="1440"/>
          </w:tcPr>
          <w:p>
            <w:r>
              <w:t>3</w:t>
            </w:r>
          </w:p>
        </w:tc>
        <w:tc>
          <w:tcPr>
            <w:tcW w:type="dxa" w:w="1440"/>
          </w:tcPr>
          <w:p>
            <w:r>
              <w:t>3</w:t>
            </w:r>
          </w:p>
        </w:tc>
        <w:tc>
          <w:tcPr>
            <w:tcW w:type="dxa" w:w="1440"/>
          </w:tcPr>
          <w:p>
            <w:r>
              <w:t>9</w:t>
            </w:r>
          </w:p>
        </w:tc>
        <w:tc>
          <w:tcPr>
            <w:tcW w:type="dxa" w:w="1440"/>
          </w:tcPr>
          <w:p>
            <w:r>
              <w:t>Medium</w:t>
            </w:r>
          </w:p>
        </w:tc>
      </w:tr>
      <w:tr>
        <w:tc>
          <w:tcPr>
            <w:tcW w:type="dxa" w:w="1440"/>
          </w:tcPr>
          <w:p>
            <w:r>
              <w:t>Pending updated flood modelling raises FPL / re-maps hazard</w:t>
            </w:r>
          </w:p>
        </w:tc>
        <w:tc>
          <w:tcPr>
            <w:tcW w:type="dxa" w:w="1440"/>
          </w:tcPr>
          <w:p>
            <w:r>
              <w:t>Regulatory/Technical</w:t>
            </w:r>
          </w:p>
        </w:tc>
        <w:tc>
          <w:tcPr>
            <w:tcW w:type="dxa" w:w="1440"/>
          </w:tcPr>
          <w:p>
            <w:r>
              <w:t>3</w:t>
            </w:r>
          </w:p>
        </w:tc>
        <w:tc>
          <w:tcPr>
            <w:tcW w:type="dxa" w:w="1440"/>
          </w:tcPr>
          <w:p>
            <w:r>
              <w:t>3</w:t>
            </w:r>
          </w:p>
        </w:tc>
        <w:tc>
          <w:tcPr>
            <w:tcW w:type="dxa" w:w="1440"/>
          </w:tcPr>
          <w:p>
            <w:r>
              <w:t>9</w:t>
            </w:r>
          </w:p>
        </w:tc>
        <w:tc>
          <w:tcPr>
            <w:tcW w:type="dxa" w:w="1440"/>
          </w:tcPr>
          <w:p>
            <w:r>
              <w:t>Medium</w:t>
            </w:r>
          </w:p>
        </w:tc>
      </w:tr>
      <w:tr>
        <w:tc>
          <w:tcPr>
            <w:tcW w:type="dxa" w:w="1440"/>
          </w:tcPr>
          <w:p>
            <w:r>
              <w:t>Extended holding period and/or interest-rate movement</w:t>
            </w:r>
          </w:p>
        </w:tc>
        <w:tc>
          <w:tcPr>
            <w:tcW w:type="dxa" w:w="1440"/>
          </w:tcPr>
          <w:p>
            <w:r>
              <w:t>Financial</w:t>
            </w:r>
          </w:p>
        </w:tc>
        <w:tc>
          <w:tcPr>
            <w:tcW w:type="dxa" w:w="1440"/>
          </w:tcPr>
          <w:p>
            <w:r>
              <w:t>4</w:t>
            </w:r>
          </w:p>
        </w:tc>
        <w:tc>
          <w:tcPr>
            <w:tcW w:type="dxa" w:w="1440"/>
          </w:tcPr>
          <w:p>
            <w:r>
              <w:t>3</w:t>
            </w:r>
          </w:p>
        </w:tc>
        <w:tc>
          <w:tcPr>
            <w:tcW w:type="dxa" w:w="1440"/>
          </w:tcPr>
          <w:p>
            <w:r>
              <w:t>12</w:t>
            </w:r>
          </w:p>
        </w:tc>
        <w:tc>
          <w:tcPr>
            <w:tcW w:type="dxa" w:w="1440"/>
          </w:tcPr>
          <w:p>
            <w:r>
              <w:t>Medium</w:t>
            </w:r>
          </w:p>
        </w:tc>
      </w:tr>
      <w:tr>
        <w:tc>
          <w:tcPr>
            <w:tcW w:type="dxa" w:w="1440"/>
          </w:tcPr>
          <w:p>
            <w:r>
              <w:t>Civil construction cost escalation</w:t>
            </w:r>
          </w:p>
        </w:tc>
        <w:tc>
          <w:tcPr>
            <w:tcW w:type="dxa" w:w="1440"/>
          </w:tcPr>
          <w:p>
            <w:r>
              <w:t>Construction</w:t>
            </w:r>
          </w:p>
        </w:tc>
        <w:tc>
          <w:tcPr>
            <w:tcW w:type="dxa" w:w="1440"/>
          </w:tcPr>
          <w:p>
            <w:r>
              <w:t>4</w:t>
            </w:r>
          </w:p>
        </w:tc>
        <w:tc>
          <w:tcPr>
            <w:tcW w:type="dxa" w:w="1440"/>
          </w:tcPr>
          <w:p>
            <w:r>
              <w:t>2</w:t>
            </w:r>
          </w:p>
        </w:tc>
        <w:tc>
          <w:tcPr>
            <w:tcW w:type="dxa" w:w="1440"/>
          </w:tcPr>
          <w:p>
            <w:r>
              <w:t>8</w:t>
            </w:r>
          </w:p>
        </w:tc>
        <w:tc>
          <w:tcPr>
            <w:tcW w:type="dxa" w:w="1440"/>
          </w:tcPr>
          <w:p>
            <w:r>
              <w:t>Medium</w:t>
            </w:r>
          </w:p>
        </w:tc>
      </w:tr>
      <w:tr>
        <w:tc>
          <w:tcPr>
            <w:tcW w:type="dxa" w:w="1440"/>
          </w:tcPr>
          <w:p>
            <w:r>
              <w:t>Reliance on related-party / builder-lender sales channel</w:t>
            </w:r>
          </w:p>
        </w:tc>
        <w:tc>
          <w:tcPr>
            <w:tcW w:type="dxa" w:w="1440"/>
          </w:tcPr>
          <w:p>
            <w:r>
              <w:t>Commercial</w:t>
            </w:r>
          </w:p>
        </w:tc>
        <w:tc>
          <w:tcPr>
            <w:tcW w:type="dxa" w:w="1440"/>
          </w:tcPr>
          <w:p>
            <w:r>
              <w:t>3</w:t>
            </w:r>
          </w:p>
        </w:tc>
        <w:tc>
          <w:tcPr>
            <w:tcW w:type="dxa" w:w="1440"/>
          </w:tcPr>
          <w:p>
            <w:r>
              <w:t>2</w:t>
            </w:r>
          </w:p>
        </w:tc>
        <w:tc>
          <w:tcPr>
            <w:tcW w:type="dxa" w:w="1440"/>
          </w:tcPr>
          <w:p>
            <w:r>
              <w:t>6</w:t>
            </w:r>
          </w:p>
        </w:tc>
        <w:tc>
          <w:tcPr>
            <w:tcW w:type="dxa" w:w="1440"/>
          </w:tcPr>
          <w:p>
            <w:r>
              <w:t>Low</w:t>
            </w:r>
          </w:p>
        </w:tc>
      </w:tr>
      <w:tr>
        <w:tc>
          <w:tcPr>
            <w:tcW w:type="dxa" w:w="1440"/>
          </w:tcPr>
          <w:p>
            <w:r>
              <w:t>Unforeseen development costs</w:t>
            </w:r>
          </w:p>
        </w:tc>
        <w:tc>
          <w:tcPr>
            <w:tcW w:type="dxa" w:w="1440"/>
          </w:tcPr>
          <w:p>
            <w:r>
              <w:t>Financial</w:t>
            </w:r>
          </w:p>
        </w:tc>
        <w:tc>
          <w:tcPr>
            <w:tcW w:type="dxa" w:w="1440"/>
          </w:tcPr>
          <w:p>
            <w:r>
              <w:t>3</w:t>
            </w:r>
          </w:p>
        </w:tc>
        <w:tc>
          <w:tcPr>
            <w:tcW w:type="dxa" w:w="1440"/>
          </w:tcPr>
          <w:p>
            <w:r>
              <w:t>2</w:t>
            </w:r>
          </w:p>
        </w:tc>
        <w:tc>
          <w:tcPr>
            <w:tcW w:type="dxa" w:w="1440"/>
          </w:tcPr>
          <w:p>
            <w:r>
              <w:t>6</w:t>
            </w:r>
          </w:p>
        </w:tc>
        <w:tc>
          <w:tcPr>
            <w:tcW w:type="dxa" w:w="1440"/>
          </w:tcPr>
          <w:p>
            <w:r>
              <w:t>Low</w:t>
            </w:r>
          </w:p>
        </w:tc>
      </w:tr>
      <w:tr>
        <w:tc>
          <w:tcPr>
            <w:tcW w:type="dxa" w:w="1440"/>
          </w:tcPr>
          <w:p>
            <w:r>
              <w:t>Dorset Drive settlement (31 Mar 2027) vs. construction start</w:t>
            </w:r>
          </w:p>
        </w:tc>
        <w:tc>
          <w:tcPr>
            <w:tcW w:type="dxa" w:w="1440"/>
          </w:tcPr>
          <w:p>
            <w:r>
              <w:t>Delivery</w:t>
            </w:r>
          </w:p>
        </w:tc>
        <w:tc>
          <w:tcPr>
            <w:tcW w:type="dxa" w:w="1440"/>
          </w:tcPr>
          <w:p>
            <w:r>
              <w:t>2</w:t>
            </w:r>
          </w:p>
        </w:tc>
        <w:tc>
          <w:tcPr>
            <w:tcW w:type="dxa" w:w="1440"/>
          </w:tcPr>
          <w:p>
            <w:r>
              <w:t>3</w:t>
            </w:r>
          </w:p>
        </w:tc>
        <w:tc>
          <w:tcPr>
            <w:tcW w:type="dxa" w:w="1440"/>
          </w:tcPr>
          <w:p>
            <w:r>
              <w:t>6</w:t>
            </w:r>
          </w:p>
        </w:tc>
        <w:tc>
          <w:tcPr>
            <w:tcW w:type="dxa" w:w="1440"/>
          </w:tcPr>
          <w:p>
            <w:r>
              <w:t>Low</w:t>
            </w:r>
          </w:p>
        </w:tc>
      </w:tr>
      <w:tr>
        <w:tc>
          <w:tcPr>
            <w:tcW w:type="dxa" w:w="1440"/>
          </w:tcPr>
          <w:p>
            <w:r>
              <w:t>Third-party litigation or objections</w:t>
            </w:r>
          </w:p>
        </w:tc>
        <w:tc>
          <w:tcPr>
            <w:tcW w:type="dxa" w:w="1440"/>
          </w:tcPr>
          <w:p>
            <w:r>
              <w:t>Legal</w:t>
            </w:r>
          </w:p>
        </w:tc>
        <w:tc>
          <w:tcPr>
            <w:tcW w:type="dxa" w:w="1440"/>
          </w:tcPr>
          <w:p>
            <w:r>
              <w:t>2</w:t>
            </w:r>
          </w:p>
        </w:tc>
        <w:tc>
          <w:tcPr>
            <w:tcW w:type="dxa" w:w="1440"/>
          </w:tcPr>
          <w:p>
            <w:r>
              <w:t>2</w:t>
            </w:r>
          </w:p>
        </w:tc>
        <w:tc>
          <w:tcPr>
            <w:tcW w:type="dxa" w:w="1440"/>
          </w:tcPr>
          <w:p>
            <w:r>
              <w:t>4</w:t>
            </w:r>
          </w:p>
        </w:tc>
        <w:tc>
          <w:tcPr>
            <w:tcW w:type="dxa" w:w="1440"/>
          </w:tcPr>
          <w:p>
            <w:r>
              <w:t>Low</w:t>
            </w:r>
          </w:p>
        </w:tc>
      </w:tr>
      <w:tr>
        <w:tc>
          <w:tcPr>
            <w:tcW w:type="dxa" w:w="1440"/>
          </w:tcPr>
          <w:p>
            <w:r>
              <w:t>Protracted Council assessment timeframe</w:t>
            </w:r>
          </w:p>
        </w:tc>
        <w:tc>
          <w:tcPr>
            <w:tcW w:type="dxa" w:w="1440"/>
          </w:tcPr>
          <w:p>
            <w:r>
              <w:t>Regulatory</w:t>
            </w:r>
          </w:p>
        </w:tc>
        <w:tc>
          <w:tcPr>
            <w:tcW w:type="dxa" w:w="1440"/>
          </w:tcPr>
          <w:p>
            <w:r>
              <w:t>2</w:t>
            </w:r>
          </w:p>
        </w:tc>
        <w:tc>
          <w:tcPr>
            <w:tcW w:type="dxa" w:w="1440"/>
          </w:tcPr>
          <w:p>
            <w:r>
              <w:t>2</w:t>
            </w:r>
          </w:p>
        </w:tc>
        <w:tc>
          <w:tcPr>
            <w:tcW w:type="dxa" w:w="1440"/>
          </w:tcPr>
          <w:p>
            <w:r>
              <w:t>4</w:t>
            </w:r>
          </w:p>
        </w:tc>
        <w:tc>
          <w:tcPr>
            <w:tcW w:type="dxa" w:w="1440"/>
          </w:tcPr>
          <w:p>
            <w:r>
              <w:t>Low</w:t>
            </w:r>
          </w:p>
        </w:tc>
      </w:tr>
    </w:tbl>
    <w:p>
      <w:r>
        <w:t>Key mitigations.</w:t>
      </w:r>
    </w:p>
    <w:p>
      <w:pPr>
        <w:pStyle w:val="ListBullet"/>
      </w:pPr>
      <w:r>
        <w:t>Sale prices. Pricing prepared by the appointed sales agent (B.E Property) and stress-tested at −5% and −10%; product sits in the resilient affordable owner-occupier/investor segment.</w:t>
      </w:r>
    </w:p>
    <w:p>
      <w:pPr>
        <w:pStyle w:val="ListBullet"/>
      </w:pPr>
      <w:r>
        <w:t>Planning departures. The application is Code Assessable (no public notification, lower objection risk). The Town Planning Report provides detailed performance-based justification for PO4 and PO12, relying on s1.7.4 of the scheme (examples are not exhaustive) and the supporting traffic advice (Option 3 preferred over the Figure 6 link). This is, however, a performance argument rather than acceptable-outcome compliance, and could attract an information request or condition; the 12-month DA allowance provides buffer.</w:t>
      </w:r>
    </w:p>
    <w:p>
      <w:pPr>
        <w:pStyle w:val="ListBullet"/>
      </w:pPr>
      <w:r>
        <w:t>Flood modelling. The Bravo Consult flood report meets current adopted requirements; the residual risk is that newer (not-yet-adopted) modelling raises levels. Consider designing fill/FPL with margin to the latest modelling to protect future saleability.</w:t>
      </w:r>
    </w:p>
    <w:p>
      <w:pPr>
        <w:pStyle w:val="ListBullet"/>
      </w:pPr>
      <w:r>
        <w:t>Holding period / interest. The schedule allows 12 months for DA; the 20%/15% facility makes early DA financially material. A six-month extension reduces ROI to 27.29% on the feasibility.</w:t>
      </w:r>
    </w:p>
    <w:p>
      <w:pPr>
        <w:pStyle w:val="ListBullet"/>
      </w:pPr>
      <w:r>
        <w:t>Construction cost. In-house civil delivery gives direct cost control; +10% construction is absorbed at 28.95% ROI; severe combined downside retains 16.43% ROI.</w:t>
      </w:r>
    </w:p>
    <w:p>
      <w:pPr>
        <w:pStyle w:val="ListBullet"/>
      </w:pPr>
      <w:r>
        <w:t>Sales channel. Borrower retains price-approval and a step-back right to convert exclusivity to non-exclusive at plan sealing if sales underperform.</w:t>
      </w:r>
    </w:p>
    <w:p>
      <w:pPr>
        <w:pStyle w:val="ListBullet"/>
      </w:pPr>
      <w:r>
        <w:t>Dorset settlement timing. Confirm early-access/works arrangements so the access road is not gated by the 31 March 2027 settlement.</w:t>
      </w:r>
    </w:p>
    <w:p>
      <w:r>
        <w:t>Overall profile: Low to Medium. Five risks are Medium (market pricing, planning departures, flood modelling, holding/interest, construction escalation); the remainder Low. No risks rated High. The feasibility sustains a positive return under a severe combined downside.</w:t>
      </w:r>
    </w:p>
    <w:p>
      <w:pPr>
        <w:pStyle w:val="Heading1"/>
      </w:pPr>
      <w:r>
        <w:t>Market Context</w:t>
      </w:r>
    </w:p>
    <w:p>
      <w:r>
        <w:t>Caboolture South sits within the Moreton Bay LGA, one of South East Queensland's designated high-growth regions, ~50 km north of Brisbane CBD and served by the Bruce Highway and Caboolture rail line. Demand fundamentals: sustained population growth and net migration into SEQ; constrained registered lot supply supporting price resilience; a designated growth precinct providing planning support at the proposed density; and affordability positioning broadening the purchaser pool.</w:t>
      </w:r>
    </w:p>
    <w:p>
      <w:pPr>
        <w:pStyle w:val="Heading1"/>
      </w:pPr>
      <w:r>
        <w:t>Sponsor Profile — Pembroke Construction</w:t>
      </w:r>
    </w:p>
    <w:p>
      <w:r>
        <w:t>Pembroke Construction is the project sponsor and will act as both developer and head civil contractor, with end-to-end capability across acquisition, development management, civil construction and delivery. Strengths: in-house civil construction (direct control of schedule, quality, cost); repeat subdivision delivery (current, benchmarked cost data); established consultant relationships; and proactive early Council engagement, including the strategic acquisition of the third parcel to resolve access.</w:t>
      </w:r>
    </w:p>
    <w:p>
      <w:r>
        <w:t>Consultant team (DA package):</w:t>
      </w:r>
    </w:p>
    <w:tbl>
      <w:tblPr>
        <w:tblStyle w:val="LightGrid-Accent1"/>
        <w:tblW w:type="auto" w:w="0"/>
        <w:tblLook w:firstColumn="1" w:firstRow="1" w:lastColumn="0" w:lastRow="0" w:noHBand="0" w:noVBand="1" w:val="04A0"/>
      </w:tblPr>
      <w:tblGrid>
        <w:gridCol w:w="4320"/>
        <w:gridCol w:w="4320"/>
      </w:tblGrid>
      <w:tr>
        <w:tc>
          <w:tcPr>
            <w:tcW w:type="dxa" w:w="4320"/>
          </w:tcPr>
          <w:p>
            <w:r>
              <w:rPr>
                <w:b/>
              </w:rPr>
              <w:t>Discipline</w:t>
            </w:r>
          </w:p>
        </w:tc>
        <w:tc>
          <w:tcPr>
            <w:tcW w:type="dxa" w:w="4320"/>
          </w:tcPr>
          <w:p>
            <w:r>
              <w:rPr>
                <w:b/>
              </w:rPr>
              <w:t>Consultant</w:t>
            </w:r>
          </w:p>
        </w:tc>
      </w:tr>
      <w:tr>
        <w:tc>
          <w:tcPr>
            <w:tcW w:type="dxa" w:w="4320"/>
          </w:tcPr>
          <w:p>
            <w:r>
              <w:t>Town planning</w:t>
            </w:r>
          </w:p>
        </w:tc>
        <w:tc>
          <w:tcPr>
            <w:tcW w:type="dxa" w:w="4320"/>
          </w:tcPr>
          <w:p>
            <w:r>
              <w:t>Steffan Harries (Alex Steffan)</w:t>
            </w:r>
          </w:p>
        </w:tc>
      </w:tr>
      <w:tr>
        <w:tc>
          <w:tcPr>
            <w:tcW w:type="dxa" w:w="4320"/>
          </w:tcPr>
          <w:p>
            <w:r>
              <w:t>Civil, stormwater &amp; flood</w:t>
            </w:r>
          </w:p>
        </w:tc>
        <w:tc>
          <w:tcPr>
            <w:tcW w:type="dxa" w:w="4320"/>
          </w:tcPr>
          <w:p>
            <w:r>
              <w:t>Bravo Consult (RPEQ Isaac Scott)</w:t>
            </w:r>
          </w:p>
        </w:tc>
      </w:tr>
      <w:tr>
        <w:tc>
          <w:tcPr>
            <w:tcW w:type="dxa" w:w="4320"/>
          </w:tcPr>
          <w:p>
            <w:r>
              <w:t>Traffic / structure planning</w:t>
            </w:r>
          </w:p>
        </w:tc>
        <w:tc>
          <w:tcPr>
            <w:tcW w:type="dxa" w:w="4320"/>
          </w:tcPr>
          <w:p>
            <w:r>
              <w:t>Modus (Bradley Fuller; Harj Singh RPEQ)</w:t>
            </w:r>
          </w:p>
        </w:tc>
      </w:tr>
      <w:tr>
        <w:tc>
          <w:tcPr>
            <w:tcW w:type="dxa" w:w="4320"/>
          </w:tcPr>
          <w:p>
            <w:r>
              <w:t>Landscape</w:t>
            </w:r>
          </w:p>
        </w:tc>
        <w:tc>
          <w:tcPr>
            <w:tcW w:type="dxa" w:w="4320"/>
          </w:tcPr>
          <w:p>
            <w:r>
              <w:t>Registered Landscape Architect (Appendix G)</w:t>
            </w:r>
          </w:p>
        </w:tc>
      </w:tr>
      <w:tr>
        <w:tc>
          <w:tcPr>
            <w:tcW w:type="dxa" w:w="4320"/>
          </w:tcPr>
          <w:p>
            <w:r>
              <w:t>Sales</w:t>
            </w:r>
          </w:p>
        </w:tc>
        <w:tc>
          <w:tcPr>
            <w:tcW w:type="dxa" w:w="4320"/>
          </w:tcPr>
          <w:p>
            <w:r>
              <w:t>B.E Property (with the builder-lender, per the Draft Loan Agreement)</w:t>
            </w:r>
          </w:p>
        </w:tc>
      </w:tr>
    </w:tbl>
    <w:p>
      <w:pPr>
        <w:pStyle w:val="Heading1"/>
      </w:pPr>
      <w:r>
        <w:t>Purchasing Entities</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Purchasing Entity</w:t>
            </w:r>
          </w:p>
        </w:tc>
      </w:tr>
      <w:tr>
        <w:tc>
          <w:tcPr>
            <w:tcW w:type="dxa" w:w="4320"/>
          </w:tcPr>
          <w:p>
            <w:r>
              <w:t>85 River Drive</w:t>
            </w:r>
          </w:p>
        </w:tc>
        <w:tc>
          <w:tcPr>
            <w:tcW w:type="dxa" w:w="4320"/>
          </w:tcPr>
          <w:p>
            <w:r>
              <w:t>Brightfall Pty Ltd ATF Brightfall Trust</w:t>
            </w:r>
          </w:p>
        </w:tc>
      </w:tr>
      <w:tr>
        <w:tc>
          <w:tcPr>
            <w:tcW w:type="dxa" w:w="4320"/>
          </w:tcPr>
          <w:p>
            <w:r>
              <w:t>181 Torrens Road</w:t>
            </w:r>
          </w:p>
        </w:tc>
        <w:tc>
          <w:tcPr>
            <w:tcW w:type="dxa" w:w="4320"/>
          </w:tcPr>
          <w:p>
            <w:r>
              <w:t>Purcell Asset Holdings ATF Purcell Asset Holdings Family Trust</w:t>
            </w:r>
          </w:p>
        </w:tc>
      </w:tr>
      <w:tr>
        <w:tc>
          <w:tcPr>
            <w:tcW w:type="dxa" w:w="4320"/>
          </w:tcPr>
          <w:p>
            <w:r>
              <w:t>3-7 Dorset Drive</w:t>
            </w:r>
          </w:p>
        </w:tc>
        <w:tc>
          <w:tcPr>
            <w:tcW w:type="dxa" w:w="4320"/>
          </w:tcPr>
          <w:p>
            <w:r>
              <w:t>Purcell Asset Holdings ATF Purcell Asset Holdings Family Trust</w:t>
            </w:r>
          </w:p>
        </w:tc>
      </w:tr>
    </w:tbl>
    <w:p>
      <w:r>
        <w:t>DA applicant: Purcell Asset Holdings Pty Ltd ATF Purcell Asset Holdings Family Trust (c/o Steffan Harries). The Draft Loan Agreement's borrowing entity is to be confirmed.</w:t>
      </w:r>
    </w:p>
    <w:p>
      <w:pPr>
        <w:pStyle w:val="Heading1"/>
      </w:pPr>
      <w:r>
        <w:t>Closing Summary</w:t>
      </w:r>
    </w:p>
    <w:p>
      <w:r>
        <w:t>This business case sets out the investment opportunity for a 48-lot residential subdivision across three adjoining, contracted parcels at Caboolture South. The project offers exposure to a planning-advanced infill site within an established Council growth precinct, supported by an experienced sponsor with in-house civil capability and a full DA package finalised for lodgement. On the current feasibility, forecast metrics indicate a projected profit of $5.51m and ROI of 31.81% over an ~24-month delivery, retaining 25.65% ROI under conservative pricing.</w:t>
      </w:r>
    </w:p>
    <w:p>
      <w:r>
        <w:t>Before issue to investors, the sponsor should reconcile the headline feasibility against the now-known financing terms and House &amp; Land Package sales structure, and note the performance-based planning arguments and pending flood-model risk described above. Pembroke Construction welcomes the opportunity to discuss this proposal further.</w:t>
      </w:r>
    </w:p>
    <w:p>
      <w:pPr>
        <w:pStyle w:val="Heading1"/>
      </w:pPr>
      <w:r>
        <w:t>Appendices (Development Application package)</w:t>
      </w:r>
    </w:p>
    <w:p>
      <w:pPr>
        <w:pStyle w:val="ListBullet"/>
      </w:pPr>
      <w:r>
        <w:t>Town Planning Report — Steffan Harries (Final, 3 June 2026)</w:t>
      </w:r>
    </w:p>
    <w:p>
      <w:pPr>
        <w:pStyle w:val="ListBullet"/>
      </w:pPr>
      <w:r>
        <w:t>Appendix A — Prelodgement Advice Notes (DA/2026/0091, 28 Jan 2026)</w:t>
      </w:r>
    </w:p>
    <w:p>
      <w:pPr>
        <w:pStyle w:val="ListBullet"/>
      </w:pPr>
      <w:r>
        <w:t>Appendix B — Subdivision Proposal Plan incl. Plan of Development</w:t>
      </w:r>
    </w:p>
    <w:p>
      <w:pPr>
        <w:pStyle w:val="ListBullet"/>
      </w:pPr>
      <w:r>
        <w:t>Appendix C — Concept Civil Engineering Report (Bravo Consult, 1 June 2026)</w:t>
      </w:r>
    </w:p>
    <w:p>
      <w:pPr>
        <w:pStyle w:val="ListBullet"/>
      </w:pPr>
      <w:r>
        <w:t>Appendix D — Civil Engineering Plans</w:t>
      </w:r>
    </w:p>
    <w:p>
      <w:pPr>
        <w:pStyle w:val="ListBullet"/>
      </w:pPr>
      <w:r>
        <w:t>Appendix E — Site-Based Stormwater Management Plan (Bravo Consult)</w:t>
      </w:r>
    </w:p>
    <w:p>
      <w:pPr>
        <w:pStyle w:val="ListBullet"/>
      </w:pPr>
      <w:r>
        <w:t>Appendix F — Flood Report incl. code response &amp; model data files (Bravo Consult)</w:t>
      </w:r>
    </w:p>
    <w:p>
      <w:pPr>
        <w:pStyle w:val="ListBullet"/>
      </w:pPr>
      <w:r>
        <w:t>Appendix G — Landscape Intent Plan</w:t>
      </w:r>
    </w:p>
    <w:p>
      <w:pPr>
        <w:pStyle w:val="ListBullet"/>
      </w:pPr>
      <w:r>
        <w:t>Appendix H — Code Response</w:t>
      </w:r>
    </w:p>
    <w:p>
      <w:pPr>
        <w:pStyle w:val="ListBullet"/>
      </w:pPr>
      <w:r>
        <w:t>Appendix I — Traffic Engineering Report / Structure Planning (Modus)</w:t>
      </w:r>
    </w:p>
    <w:p>
      <w:pPr>
        <w:pStyle w:val="ListBullet"/>
      </w:pPr>
      <w:r>
        <w:t>DA Form 1 — Development application details</w:t>
      </w:r>
    </w:p>
    <w:p>
      <w:pPr>
        <w:pStyle w:val="ListBullet"/>
      </w:pPr>
      <w:r>
        <w:t>Land Owners' Consent — combined</w:t>
      </w:r>
    </w:p>
    <w:p>
      <w:r>
        <w:t>A copy of the consolidated Feasibility Study is held separately and should accompany this business case when issued.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