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5509"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tblPr>
      <w:tblGrid>
        <w:gridCol w:w="567"/>
        <w:gridCol w:w="1361"/>
        <w:gridCol w:w="1247"/>
        <w:gridCol w:w="709"/>
        <w:gridCol w:w="4820"/>
        <w:gridCol w:w="4253"/>
        <w:gridCol w:w="2552"/>
      </w:tblGrid>
      <w:tr w:rsidR="008D3FC7">
        <w:trPr>
          <w:jc w:val="center"/>
        </w:trPr>
        <w:tc>
          <w:tcPr>
            <w:tcW w:w="567" w:type="dxa"/>
            <w:tcBorders>
              <w:top w:val="single" w:sz="6" w:space="0" w:color="auto"/>
              <w:left w:val="single" w:sz="6" w:space="0" w:color="auto"/>
              <w:bottom w:val="single" w:sz="6" w:space="0" w:color="auto"/>
              <w:right w:val="single" w:sz="6" w:space="0" w:color="auto"/>
            </w:tcBorders>
          </w:tcPr>
          <w:p w:rsidR="008D3FC7" w:rsidRPr="00CD1AC0" w:rsidRDefault="00292B29" w:rsidP="00F91C71">
            <w:pPr>
              <w:pStyle w:val="ISOMB"/>
              <w:tabs>
                <w:tab w:val="center" w:pos="184"/>
              </w:tabs>
              <w:spacing w:before="60" w:after="60" w:line="240" w:lineRule="auto"/>
              <w:jc w:val="both"/>
              <w:rPr>
                <w:sz w:val="16"/>
                <w:szCs w:val="16"/>
              </w:rPr>
            </w:pPr>
            <w:r>
              <w:rPr>
                <w:sz w:val="16"/>
                <w:szCs w:val="16"/>
              </w:rPr>
              <w:t>S1</w:t>
            </w:r>
          </w:p>
          <w:p w:rsidR="007B0A2E" w:rsidRDefault="007B0A2E" w:rsidP="008D3FC7">
            <w:pPr>
              <w:pStyle w:val="ISOMB"/>
              <w:spacing w:before="60" w:after="60" w:line="240" w:lineRule="auto"/>
              <w:jc w:val="center"/>
            </w:pPr>
          </w:p>
        </w:tc>
        <w:tc>
          <w:tcPr>
            <w:tcW w:w="1361" w:type="dxa"/>
            <w:tcBorders>
              <w:top w:val="single" w:sz="6" w:space="0" w:color="auto"/>
              <w:left w:val="single" w:sz="6" w:space="0" w:color="auto"/>
              <w:bottom w:val="single" w:sz="6" w:space="0" w:color="auto"/>
              <w:right w:val="single" w:sz="6" w:space="0" w:color="auto"/>
            </w:tcBorders>
          </w:tcPr>
          <w:p w:rsidR="008D3FC7" w:rsidRDefault="00CD1AC0" w:rsidP="008D3FC7">
            <w:pPr>
              <w:pStyle w:val="ISOClause"/>
              <w:spacing w:before="60" w:after="60" w:line="240" w:lineRule="auto"/>
              <w:jc w:val="center"/>
            </w:pPr>
            <w:r>
              <w:t>Scope of the proposed project</w:t>
            </w:r>
            <w:r w:rsidR="00BF6C12">
              <w:t xml:space="preserve"> </w:t>
            </w:r>
          </w:p>
        </w:tc>
        <w:tc>
          <w:tcPr>
            <w:tcW w:w="1247" w:type="dxa"/>
            <w:tcBorders>
              <w:top w:val="single" w:sz="6" w:space="0" w:color="auto"/>
              <w:left w:val="single" w:sz="6" w:space="0" w:color="auto"/>
              <w:bottom w:val="single" w:sz="6" w:space="0" w:color="auto"/>
              <w:right w:val="single" w:sz="6" w:space="0" w:color="auto"/>
            </w:tcBorders>
          </w:tcPr>
          <w:p w:rsidR="008D3FC7" w:rsidRDefault="00BF6C12" w:rsidP="008D3FC7">
            <w:pPr>
              <w:pStyle w:val="ISOParagraph"/>
              <w:spacing w:before="60" w:after="60" w:line="240" w:lineRule="auto"/>
              <w:jc w:val="center"/>
            </w:pPr>
            <w:r>
              <w:t xml:space="preserve">All </w:t>
            </w:r>
          </w:p>
        </w:tc>
        <w:tc>
          <w:tcPr>
            <w:tcW w:w="709" w:type="dxa"/>
            <w:tcBorders>
              <w:top w:val="single" w:sz="6" w:space="0" w:color="auto"/>
              <w:left w:val="single" w:sz="6" w:space="0" w:color="auto"/>
              <w:bottom w:val="single" w:sz="6" w:space="0" w:color="auto"/>
              <w:right w:val="single" w:sz="6" w:space="0" w:color="auto"/>
            </w:tcBorders>
          </w:tcPr>
          <w:p w:rsidR="008D3FC7" w:rsidRDefault="00AB480F" w:rsidP="008D3FC7">
            <w:pPr>
              <w:pStyle w:val="ISOCommType"/>
              <w:spacing w:before="60" w:after="60" w:line="240" w:lineRule="auto"/>
              <w:jc w:val="center"/>
            </w:pPr>
            <w:r>
              <w:t>Ge</w:t>
            </w:r>
          </w:p>
        </w:tc>
        <w:tc>
          <w:tcPr>
            <w:tcW w:w="4820" w:type="dxa"/>
            <w:tcBorders>
              <w:top w:val="single" w:sz="6" w:space="0" w:color="auto"/>
              <w:left w:val="single" w:sz="6" w:space="0" w:color="auto"/>
              <w:bottom w:val="single" w:sz="6" w:space="0" w:color="auto"/>
              <w:right w:val="single" w:sz="6" w:space="0" w:color="auto"/>
            </w:tcBorders>
          </w:tcPr>
          <w:p w:rsidR="00AB480F" w:rsidRDefault="00BF6C12" w:rsidP="008D3FC7">
            <w:pPr>
              <w:pStyle w:val="ISOComments"/>
              <w:spacing w:before="60" w:after="60" w:line="240" w:lineRule="auto"/>
            </w:pPr>
            <w:r>
              <w:t>There have been significant developments in the DASH7 community over the last year. The DASH7 alliance is a non-profit organization that includes over 40 members. Its main objective is the promotion of the ISO/IEC 18000-7, standard.</w:t>
            </w:r>
            <w:r w:rsidR="008D3FC7">
              <w:t xml:space="preserve"> </w:t>
            </w:r>
          </w:p>
          <w:p w:rsidR="00BF6C12" w:rsidRDefault="00BF6C12" w:rsidP="008D3FC7">
            <w:pPr>
              <w:pStyle w:val="ISOComments"/>
              <w:spacing w:before="60" w:after="60" w:line="240" w:lineRule="auto"/>
            </w:pPr>
            <w:r>
              <w:t xml:space="preserve">ISO/IEC 18000-7 is the supporting air interface protocol for ISO 17363. It is essential that any revision of ISO 17363 </w:t>
            </w:r>
            <w:r w:rsidR="00D84A00">
              <w:t>take into ac</w:t>
            </w:r>
            <w:r w:rsidR="008D3FC7">
              <w:t xml:space="preserve">count the underlying technology developments. </w:t>
            </w:r>
          </w:p>
          <w:p w:rsidR="00D84A00" w:rsidRDefault="00D84A00" w:rsidP="008D3FC7">
            <w:pPr>
              <w:pStyle w:val="ISOComments"/>
              <w:spacing w:before="60" w:after="60" w:line="240" w:lineRule="auto"/>
            </w:pPr>
          </w:p>
          <w:p w:rsidR="008D3FC7" w:rsidRDefault="00D84A00" w:rsidP="008D3FC7">
            <w:pPr>
              <w:pStyle w:val="ISOComments"/>
              <w:spacing w:before="60" w:after="60" w:line="240" w:lineRule="auto"/>
            </w:pPr>
            <w:r>
              <w:t xml:space="preserve">In 2010, DASH7 will be publishing an extended set of specifications for input into ISO. </w:t>
            </w:r>
            <w:r w:rsidR="008D3FC7">
              <w:t>They include:</w:t>
            </w:r>
          </w:p>
          <w:p w:rsidR="008D3FC7" w:rsidRDefault="008D3FC7" w:rsidP="008D3FC7">
            <w:pPr>
              <w:pStyle w:val="ISOComments"/>
              <w:numPr>
                <w:ilvl w:val="0"/>
                <w:numId w:val="2"/>
              </w:numPr>
              <w:spacing w:before="60" w:after="60" w:line="240" w:lineRule="auto"/>
            </w:pPr>
            <w:r>
              <w:t xml:space="preserve">New </w:t>
            </w:r>
            <w:r w:rsidR="00AB480F">
              <w:t>Security</w:t>
            </w:r>
            <w:r>
              <w:t xml:space="preserve"> features</w:t>
            </w:r>
          </w:p>
          <w:p w:rsidR="00AB480F" w:rsidRDefault="008D3FC7" w:rsidP="008D3FC7">
            <w:pPr>
              <w:pStyle w:val="ISOComments"/>
              <w:numPr>
                <w:ilvl w:val="0"/>
                <w:numId w:val="2"/>
              </w:numPr>
              <w:spacing w:before="60" w:after="60" w:line="240" w:lineRule="auto"/>
            </w:pPr>
            <w:r>
              <w:t>New requirements on s</w:t>
            </w:r>
            <w:r w:rsidR="00AB480F">
              <w:t>ensors</w:t>
            </w:r>
          </w:p>
          <w:p w:rsidR="007B0A2E" w:rsidRDefault="007B0A2E" w:rsidP="00C6538D">
            <w:pPr>
              <w:pStyle w:val="ISOComments"/>
              <w:spacing w:before="60" w:after="60" w:line="240" w:lineRule="auto"/>
            </w:pPr>
          </w:p>
          <w:p w:rsidR="00A775B5" w:rsidRDefault="00A775B5" w:rsidP="00C6538D">
            <w:pPr>
              <w:pStyle w:val="ISOComments"/>
              <w:spacing w:before="60" w:after="60" w:line="240" w:lineRule="auto"/>
            </w:pPr>
            <w:r>
              <w:t>These new requirements will support future updates to ISO 17363. The scope of ISO 17363 clearly defines the air interface for cargo shipment tags.</w:t>
            </w:r>
          </w:p>
          <w:p w:rsidR="00A775B5" w:rsidRDefault="00A775B5" w:rsidP="00C6538D">
            <w:pPr>
              <w:pStyle w:val="ISOComments"/>
              <w:spacing w:before="60" w:after="60" w:line="240" w:lineRule="auto"/>
            </w:pPr>
          </w:p>
          <w:p w:rsidR="007B0A2E" w:rsidRPr="0005508E" w:rsidRDefault="007B0A2E" w:rsidP="007B0A2E">
            <w:pPr>
              <w:autoSpaceDE w:val="0"/>
              <w:autoSpaceDN w:val="0"/>
              <w:adjustRightInd w:val="0"/>
              <w:jc w:val="left"/>
              <w:rPr>
                <w:rFonts w:cs="Arial"/>
                <w:color w:val="C0504D" w:themeColor="accent2"/>
                <w:sz w:val="20"/>
                <w:szCs w:val="20"/>
                <w:lang w:val="en-US"/>
              </w:rPr>
            </w:pPr>
            <w:r>
              <w:rPr>
                <w:rFonts w:cs="Arial"/>
                <w:sz w:val="20"/>
                <w:szCs w:val="20"/>
                <w:lang w:val="en-US"/>
              </w:rPr>
              <w:t>Excerpts from the scope of ISO 17363: “</w:t>
            </w:r>
            <w:r w:rsidRPr="0005508E">
              <w:rPr>
                <w:rFonts w:cs="Arial"/>
                <w:color w:val="C0504D" w:themeColor="accent2"/>
                <w:sz w:val="20"/>
                <w:szCs w:val="20"/>
                <w:lang w:val="en-US"/>
              </w:rPr>
              <w:t>Identified within this International Standard are the air interface and communication parameters for active</w:t>
            </w:r>
          </w:p>
          <w:p w:rsidR="007B0A2E" w:rsidRPr="0005508E" w:rsidRDefault="007B0A2E" w:rsidP="007B0A2E">
            <w:pPr>
              <w:autoSpaceDE w:val="0"/>
              <w:autoSpaceDN w:val="0"/>
              <w:adjustRightInd w:val="0"/>
              <w:jc w:val="left"/>
              <w:rPr>
                <w:rFonts w:cs="Arial"/>
                <w:color w:val="C0504D" w:themeColor="accent2"/>
                <w:sz w:val="20"/>
                <w:szCs w:val="20"/>
                <w:lang w:val="en-US"/>
              </w:rPr>
            </w:pPr>
            <w:r w:rsidRPr="0005508E">
              <w:rPr>
                <w:rFonts w:cs="Arial"/>
                <w:color w:val="C0504D" w:themeColor="accent2"/>
                <w:sz w:val="20"/>
                <w:szCs w:val="20"/>
                <w:lang w:val="en-US"/>
              </w:rPr>
              <w:t>radio-frequency identification communications using the International Standards from ISO/IEC 18000-7,</w:t>
            </w:r>
          </w:p>
          <w:p w:rsidR="007B0A2E" w:rsidRPr="0005508E" w:rsidRDefault="007B0A2E" w:rsidP="007B0A2E">
            <w:pPr>
              <w:autoSpaceDE w:val="0"/>
              <w:autoSpaceDN w:val="0"/>
              <w:adjustRightInd w:val="0"/>
              <w:jc w:val="left"/>
              <w:rPr>
                <w:rFonts w:ascii="Arial,Italic" w:hAnsi="Arial,Italic" w:cs="Arial,Italic"/>
                <w:i/>
                <w:iCs/>
                <w:color w:val="C0504D" w:themeColor="accent2"/>
                <w:sz w:val="20"/>
                <w:szCs w:val="20"/>
                <w:lang w:val="en-US"/>
              </w:rPr>
            </w:pPr>
            <w:r w:rsidRPr="0005508E">
              <w:rPr>
                <w:rFonts w:ascii="Arial,Italic" w:hAnsi="Arial,Italic" w:cs="Arial,Italic"/>
                <w:i/>
                <w:iCs/>
                <w:color w:val="C0504D" w:themeColor="accent2"/>
                <w:sz w:val="20"/>
                <w:szCs w:val="20"/>
                <w:lang w:val="en-US"/>
              </w:rPr>
              <w:t>Information technology automatic identification and data capture techniques — Radio frequency identification</w:t>
            </w:r>
          </w:p>
          <w:p w:rsidR="007B0A2E" w:rsidRPr="0005508E" w:rsidRDefault="007B0A2E" w:rsidP="007B0A2E">
            <w:pPr>
              <w:autoSpaceDE w:val="0"/>
              <w:autoSpaceDN w:val="0"/>
              <w:adjustRightInd w:val="0"/>
              <w:jc w:val="left"/>
              <w:rPr>
                <w:rFonts w:ascii="Arial,Italic" w:hAnsi="Arial,Italic" w:cs="Arial,Italic"/>
                <w:i/>
                <w:iCs/>
                <w:color w:val="C0504D" w:themeColor="accent2"/>
                <w:sz w:val="20"/>
                <w:szCs w:val="20"/>
                <w:lang w:val="en-US"/>
              </w:rPr>
            </w:pPr>
            <w:r w:rsidRPr="0005508E">
              <w:rPr>
                <w:rFonts w:ascii="Arial,Italic" w:hAnsi="Arial,Italic" w:cs="Arial,Italic"/>
                <w:i/>
                <w:iCs/>
                <w:color w:val="C0504D" w:themeColor="accent2"/>
                <w:sz w:val="20"/>
                <w:szCs w:val="20"/>
                <w:lang w:val="en-US"/>
              </w:rPr>
              <w:t xml:space="preserve">for item management air interface — Part 7: Parameters for an active RFID air interface </w:t>
            </w:r>
            <w:r w:rsidRPr="0005508E">
              <w:rPr>
                <w:rFonts w:ascii="Arial,Italic" w:hAnsi="Arial,Italic" w:cs="Arial,Italic"/>
                <w:i/>
                <w:iCs/>
                <w:color w:val="C0504D" w:themeColor="accent2"/>
                <w:sz w:val="20"/>
                <w:szCs w:val="20"/>
                <w:lang w:val="en-US"/>
              </w:rPr>
              <w:lastRenderedPageBreak/>
              <w:t>communications at</w:t>
            </w:r>
          </w:p>
          <w:p w:rsidR="007B0A2E" w:rsidRPr="0005508E" w:rsidRDefault="007B0A2E" w:rsidP="007B0A2E">
            <w:pPr>
              <w:rPr>
                <w:color w:val="C0504D" w:themeColor="accent2"/>
              </w:rPr>
            </w:pPr>
            <w:r w:rsidRPr="0005508E">
              <w:rPr>
                <w:rFonts w:ascii="Arial,Italic" w:hAnsi="Arial,Italic" w:cs="Arial,Italic"/>
                <w:i/>
                <w:iCs/>
                <w:color w:val="C0504D" w:themeColor="accent2"/>
                <w:sz w:val="20"/>
                <w:szCs w:val="20"/>
                <w:lang w:val="en-US"/>
              </w:rPr>
              <w:t>433 MHz</w:t>
            </w:r>
            <w:r w:rsidRPr="0005508E">
              <w:rPr>
                <w:rFonts w:cs="Arial"/>
                <w:color w:val="C0504D" w:themeColor="accent2"/>
                <w:sz w:val="20"/>
                <w:szCs w:val="20"/>
                <w:lang w:val="en-US"/>
              </w:rPr>
              <w:t>.”</w:t>
            </w:r>
          </w:p>
          <w:p w:rsidR="007B0A2E" w:rsidRDefault="007B0A2E" w:rsidP="007B0A2E">
            <w:pPr>
              <w:pStyle w:val="ISOComments"/>
              <w:spacing w:before="60" w:after="60" w:line="240" w:lineRule="auto"/>
            </w:pPr>
          </w:p>
        </w:tc>
        <w:tc>
          <w:tcPr>
            <w:tcW w:w="4253" w:type="dxa"/>
            <w:tcBorders>
              <w:top w:val="single" w:sz="6" w:space="0" w:color="auto"/>
              <w:left w:val="single" w:sz="6" w:space="0" w:color="auto"/>
              <w:bottom w:val="single" w:sz="6" w:space="0" w:color="auto"/>
              <w:right w:val="single" w:sz="6" w:space="0" w:color="auto"/>
            </w:tcBorders>
          </w:tcPr>
          <w:p w:rsidR="008D3FC7" w:rsidRDefault="00D84A00" w:rsidP="00D84A00">
            <w:pPr>
              <w:pStyle w:val="Terms"/>
              <w:rPr>
                <w:b w:val="0"/>
              </w:rPr>
            </w:pPr>
            <w:r>
              <w:rPr>
                <w:b w:val="0"/>
              </w:rPr>
              <w:lastRenderedPageBreak/>
              <w:t xml:space="preserve">The scope of the NP needs to </w:t>
            </w:r>
            <w:r w:rsidR="00C6538D">
              <w:rPr>
                <w:b w:val="0"/>
              </w:rPr>
              <w:t xml:space="preserve">be consistent with the scope of the </w:t>
            </w:r>
            <w:r w:rsidR="00C109DC">
              <w:rPr>
                <w:b w:val="0"/>
              </w:rPr>
              <w:t>published ISO 17363: 2007 standard.</w:t>
            </w:r>
          </w:p>
          <w:p w:rsidR="00CD1AC0" w:rsidRDefault="00CD1AC0" w:rsidP="00CD1AC0">
            <w:pPr>
              <w:pStyle w:val="Definition"/>
            </w:pPr>
          </w:p>
          <w:p w:rsidR="00CD1AC0" w:rsidRPr="00CD1AC0" w:rsidRDefault="00CD1AC0" w:rsidP="00CD1AC0">
            <w:pPr>
              <w:pStyle w:val="Definition"/>
            </w:pPr>
            <w:r>
              <w:t>Replace:</w:t>
            </w:r>
          </w:p>
          <w:p w:rsidR="00CD1AC0" w:rsidRDefault="00CD1AC0" w:rsidP="00CD1AC0">
            <w:pPr>
              <w:pStyle w:val="ListNumber"/>
              <w:tabs>
                <w:tab w:val="clear" w:pos="360"/>
                <w:tab w:val="clear" w:pos="400"/>
              </w:tabs>
              <w:ind w:left="337" w:hanging="337"/>
              <w:rPr>
                <w:rFonts w:ascii="Courier New" w:hAnsi="Courier New"/>
                <w:sz w:val="22"/>
              </w:rPr>
            </w:pPr>
            <w:r w:rsidRPr="00CD1AC0">
              <w:rPr>
                <w:rFonts w:ascii="Courier New" w:hAnsi="Courier New"/>
                <w:sz w:val="22"/>
              </w:rPr>
              <w:t xml:space="preserve">Makes recommendations about a second generation supply chain tag intended to monitor the condition and security of the freight resident within a freight container. </w:t>
            </w:r>
          </w:p>
          <w:p w:rsidR="00CD1AC0" w:rsidRPr="00CD1AC0" w:rsidRDefault="00CD1AC0" w:rsidP="00CD1AC0">
            <w:pPr>
              <w:pStyle w:val="ListNumber"/>
              <w:numPr>
                <w:ilvl w:val="0"/>
                <w:numId w:val="0"/>
              </w:numPr>
              <w:tabs>
                <w:tab w:val="clear" w:pos="400"/>
              </w:tabs>
              <w:rPr>
                <w:rFonts w:ascii="Courier New" w:hAnsi="Courier New"/>
                <w:sz w:val="22"/>
              </w:rPr>
            </w:pPr>
            <w:r>
              <w:rPr>
                <w:rFonts w:ascii="Courier New" w:hAnsi="Courier New"/>
                <w:sz w:val="22"/>
              </w:rPr>
              <w:t xml:space="preserve">By: </w:t>
            </w:r>
          </w:p>
          <w:p w:rsidR="00D84A00" w:rsidRPr="00CD1AC0" w:rsidRDefault="00CD1AC0" w:rsidP="00CD1AC0">
            <w:pPr>
              <w:pStyle w:val="ListParagraph"/>
              <w:numPr>
                <w:ilvl w:val="0"/>
                <w:numId w:val="4"/>
              </w:numPr>
              <w:rPr>
                <w:color w:val="FF0000"/>
              </w:rPr>
            </w:pPr>
            <w:r w:rsidRPr="00CD1AC0">
              <w:rPr>
                <w:rFonts w:ascii="Courier New" w:eastAsia="MS Mincho" w:hAnsi="Courier New"/>
                <w:color w:val="FF0000"/>
                <w:szCs w:val="20"/>
                <w:lang w:eastAsia="ja-JP"/>
              </w:rPr>
              <w:t xml:space="preserve">Updates </w:t>
            </w:r>
            <w:r w:rsidR="00C6538D">
              <w:rPr>
                <w:rFonts w:ascii="Courier New" w:eastAsia="MS Mincho" w:hAnsi="Courier New"/>
                <w:color w:val="FF0000"/>
                <w:szCs w:val="20"/>
                <w:lang w:eastAsia="ja-JP"/>
              </w:rPr>
              <w:t xml:space="preserve">previous </w:t>
            </w:r>
            <w:r w:rsidRPr="00CD1AC0">
              <w:rPr>
                <w:rFonts w:ascii="Courier New" w:eastAsia="MS Mincho" w:hAnsi="Courier New"/>
                <w:color w:val="FF0000"/>
                <w:szCs w:val="20"/>
                <w:lang w:eastAsia="ja-JP"/>
              </w:rPr>
              <w:t>recommendations about a containerized cargo supply chain RFID system, based on shipment tags.</w:t>
            </w:r>
          </w:p>
          <w:p w:rsidR="00CD1AC0" w:rsidRDefault="00CD1AC0" w:rsidP="00CD1AC0">
            <w:pPr>
              <w:rPr>
                <w:color w:val="FF0000"/>
              </w:rPr>
            </w:pPr>
          </w:p>
          <w:p w:rsidR="00C6538D" w:rsidRDefault="00C6538D" w:rsidP="00CD1AC0">
            <w:pPr>
              <w:rPr>
                <w:color w:val="FF0000"/>
              </w:rPr>
            </w:pPr>
          </w:p>
          <w:p w:rsidR="00CD1AC0" w:rsidRDefault="00CD1AC0" w:rsidP="00CD1AC0">
            <w:pPr>
              <w:rPr>
                <w:color w:val="FF0000"/>
              </w:rPr>
            </w:pPr>
            <w:r>
              <w:rPr>
                <w:color w:val="FF0000"/>
              </w:rPr>
              <w:t>Strike out the following:</w:t>
            </w:r>
          </w:p>
          <w:p w:rsidR="00CD1AC0" w:rsidRDefault="00CD1AC0" w:rsidP="00CD1AC0">
            <w:pPr>
              <w:rPr>
                <w:color w:val="FF0000"/>
              </w:rPr>
            </w:pPr>
          </w:p>
          <w:p w:rsidR="00CD1AC0" w:rsidRDefault="00CD1AC0" w:rsidP="00CD1AC0">
            <w:pPr>
              <w:pStyle w:val="ListNumber"/>
              <w:tabs>
                <w:tab w:val="clear" w:pos="360"/>
                <w:tab w:val="clear" w:pos="400"/>
              </w:tabs>
              <w:ind w:left="337" w:hanging="337"/>
              <w:rPr>
                <w:rFonts w:ascii="Courier New" w:hAnsi="Courier New"/>
                <w:strike/>
                <w:sz w:val="22"/>
              </w:rPr>
            </w:pPr>
            <w:r w:rsidRPr="00CD1AC0">
              <w:rPr>
                <w:rFonts w:ascii="Courier New" w:hAnsi="Courier New"/>
                <w:strike/>
                <w:sz w:val="22"/>
              </w:rPr>
              <w:t xml:space="preserve">Specifies the implementation </w:t>
            </w:r>
            <w:r w:rsidRPr="00CD1AC0">
              <w:rPr>
                <w:rFonts w:ascii="Courier New" w:hAnsi="Courier New"/>
                <w:strike/>
                <w:sz w:val="22"/>
              </w:rPr>
              <w:lastRenderedPageBreak/>
              <w:t>of sensors for freight resident in a freight container.</w:t>
            </w:r>
          </w:p>
          <w:p w:rsidR="00CD1AC0" w:rsidRPr="00CD1AC0" w:rsidRDefault="00C6538D" w:rsidP="00CD1AC0">
            <w:pPr>
              <w:pStyle w:val="ListNumber"/>
              <w:numPr>
                <w:ilvl w:val="0"/>
                <w:numId w:val="0"/>
              </w:numPr>
              <w:tabs>
                <w:tab w:val="clear" w:pos="400"/>
              </w:tabs>
              <w:rPr>
                <w:rFonts w:ascii="Courier New" w:hAnsi="Courier New"/>
                <w:color w:val="FF0000"/>
                <w:sz w:val="22"/>
              </w:rPr>
            </w:pPr>
            <w:r>
              <w:rPr>
                <w:rFonts w:ascii="Courier New" w:hAnsi="Courier New"/>
                <w:color w:val="FF0000"/>
                <w:sz w:val="22"/>
              </w:rPr>
              <w:t>The sensor interface is defined in the air interface protocol: ISO/IEC 18000-7. A reference to the sensor clauses of the air interface protocol standard may be made in the updates to the ISO 17363 document.</w:t>
            </w:r>
          </w:p>
          <w:p w:rsidR="00CD1AC0" w:rsidRPr="00CD1AC0" w:rsidRDefault="00CD1AC0" w:rsidP="00CD1AC0">
            <w:pPr>
              <w:rPr>
                <w:color w:val="FF0000"/>
              </w:rPr>
            </w:pPr>
          </w:p>
        </w:tc>
        <w:tc>
          <w:tcPr>
            <w:tcW w:w="2552" w:type="dxa"/>
            <w:tcBorders>
              <w:top w:val="single" w:sz="6" w:space="0" w:color="auto"/>
              <w:left w:val="single" w:sz="6" w:space="0" w:color="auto"/>
              <w:bottom w:val="single" w:sz="6" w:space="0" w:color="auto"/>
              <w:right w:val="single" w:sz="6" w:space="0" w:color="auto"/>
            </w:tcBorders>
          </w:tcPr>
          <w:p w:rsidR="008D3FC7" w:rsidRPr="00EF6B64" w:rsidRDefault="008D3FC7" w:rsidP="008D3FC7">
            <w:pPr>
              <w:pStyle w:val="ISOSecretObservations"/>
              <w:spacing w:before="60" w:after="60" w:line="240" w:lineRule="auto"/>
              <w:jc w:val="both"/>
              <w:rPr>
                <w:sz w:val="16"/>
                <w:szCs w:val="16"/>
              </w:rPr>
            </w:pPr>
          </w:p>
        </w:tc>
      </w:tr>
      <w:tr w:rsidR="00F91C71">
        <w:trPr>
          <w:jc w:val="center"/>
        </w:trPr>
        <w:tc>
          <w:tcPr>
            <w:tcW w:w="567" w:type="dxa"/>
            <w:tcBorders>
              <w:top w:val="single" w:sz="6" w:space="0" w:color="auto"/>
              <w:left w:val="single" w:sz="6" w:space="0" w:color="auto"/>
              <w:bottom w:val="single" w:sz="6" w:space="0" w:color="auto"/>
              <w:right w:val="single" w:sz="6" w:space="0" w:color="auto"/>
            </w:tcBorders>
          </w:tcPr>
          <w:p w:rsidR="00F91C71" w:rsidRDefault="00F91C71" w:rsidP="008D3FC7">
            <w:pPr>
              <w:pStyle w:val="ISOMB"/>
              <w:spacing w:before="60" w:after="60" w:line="240" w:lineRule="auto"/>
              <w:jc w:val="center"/>
            </w:pPr>
            <w:r>
              <w:lastRenderedPageBreak/>
              <w:t>S2</w:t>
            </w:r>
          </w:p>
        </w:tc>
        <w:tc>
          <w:tcPr>
            <w:tcW w:w="1361" w:type="dxa"/>
            <w:tcBorders>
              <w:top w:val="single" w:sz="6" w:space="0" w:color="auto"/>
              <w:left w:val="single" w:sz="6" w:space="0" w:color="auto"/>
              <w:bottom w:val="single" w:sz="6" w:space="0" w:color="auto"/>
              <w:right w:val="single" w:sz="6" w:space="0" w:color="auto"/>
            </w:tcBorders>
          </w:tcPr>
          <w:p w:rsidR="00F91C71" w:rsidRDefault="00F91C71" w:rsidP="009C02A1">
            <w:pPr>
              <w:pStyle w:val="ISOClause"/>
              <w:spacing w:before="60" w:after="60" w:line="240" w:lineRule="auto"/>
              <w:jc w:val="center"/>
            </w:pPr>
            <w:r>
              <w:t xml:space="preserve">Scope of the proposed project </w:t>
            </w:r>
          </w:p>
        </w:tc>
        <w:tc>
          <w:tcPr>
            <w:tcW w:w="1247" w:type="dxa"/>
            <w:tcBorders>
              <w:top w:val="single" w:sz="6" w:space="0" w:color="auto"/>
              <w:left w:val="single" w:sz="6" w:space="0" w:color="auto"/>
              <w:bottom w:val="single" w:sz="6" w:space="0" w:color="auto"/>
              <w:right w:val="single" w:sz="6" w:space="0" w:color="auto"/>
            </w:tcBorders>
          </w:tcPr>
          <w:p w:rsidR="00F91C71" w:rsidRDefault="00F91C71" w:rsidP="008D3FC7">
            <w:pPr>
              <w:pStyle w:val="ISOParagraph"/>
              <w:spacing w:before="60" w:after="60" w:line="240" w:lineRule="auto"/>
              <w:jc w:val="center"/>
            </w:pPr>
          </w:p>
        </w:tc>
        <w:tc>
          <w:tcPr>
            <w:tcW w:w="709" w:type="dxa"/>
            <w:tcBorders>
              <w:top w:val="single" w:sz="6" w:space="0" w:color="auto"/>
              <w:left w:val="single" w:sz="6" w:space="0" w:color="auto"/>
              <w:bottom w:val="single" w:sz="6" w:space="0" w:color="auto"/>
              <w:right w:val="single" w:sz="6" w:space="0" w:color="auto"/>
            </w:tcBorders>
          </w:tcPr>
          <w:p w:rsidR="00F91C71" w:rsidRDefault="00F91C71" w:rsidP="008D3FC7">
            <w:pPr>
              <w:pStyle w:val="ISOCommType"/>
              <w:spacing w:before="60" w:after="60" w:line="240" w:lineRule="auto"/>
              <w:jc w:val="center"/>
            </w:pPr>
            <w:r>
              <w:t>Ge</w:t>
            </w:r>
          </w:p>
        </w:tc>
        <w:tc>
          <w:tcPr>
            <w:tcW w:w="4820" w:type="dxa"/>
            <w:tcBorders>
              <w:top w:val="single" w:sz="6" w:space="0" w:color="auto"/>
              <w:left w:val="single" w:sz="6" w:space="0" w:color="auto"/>
              <w:bottom w:val="single" w:sz="6" w:space="0" w:color="auto"/>
              <w:right w:val="single" w:sz="6" w:space="0" w:color="auto"/>
            </w:tcBorders>
          </w:tcPr>
          <w:p w:rsidR="00F91C71" w:rsidRDefault="00F91C71" w:rsidP="00AB480F">
            <w:pPr>
              <w:pStyle w:val="ISOComments"/>
              <w:spacing w:before="60" w:after="60" w:line="240" w:lineRule="auto"/>
            </w:pPr>
            <w:r>
              <w:t>Mandatory and Optional information on the shipment tag:</w:t>
            </w:r>
          </w:p>
          <w:p w:rsidR="00F91C71" w:rsidRDefault="00F91C71" w:rsidP="00AB480F">
            <w:pPr>
              <w:pStyle w:val="ISOComments"/>
              <w:spacing w:before="60" w:after="60" w:line="240" w:lineRule="auto"/>
            </w:pPr>
          </w:p>
          <w:p w:rsidR="00F91C71" w:rsidRDefault="00F91C71" w:rsidP="00AB480F">
            <w:pPr>
              <w:pStyle w:val="ISOComments"/>
              <w:spacing w:before="60" w:after="60" w:line="240" w:lineRule="auto"/>
            </w:pPr>
            <w:r w:rsidRPr="00F91C71">
              <w:t xml:space="preserve">In order not to create confusion in the market, it is essential for the 17363 standard </w:t>
            </w:r>
            <w:r w:rsidR="00625D79">
              <w:t xml:space="preserve">to align with </w:t>
            </w:r>
            <w:r w:rsidRPr="00F91C71">
              <w:t xml:space="preserve">the current ISO 18186 standard </w:t>
            </w:r>
            <w:r w:rsidR="00625D79">
              <w:t xml:space="preserve">currently </w:t>
            </w:r>
            <w:r w:rsidRPr="00F91C71">
              <w:t>in development</w:t>
            </w:r>
            <w:r w:rsidR="00625D79">
              <w:t xml:space="preserve"> in TC104.  We must avoid creating a duplicate set of Data elements and cargo shipment tag information.</w:t>
            </w:r>
          </w:p>
          <w:p w:rsidR="00292B29" w:rsidRDefault="00292B29" w:rsidP="00AB480F">
            <w:pPr>
              <w:pStyle w:val="ISOComments"/>
              <w:spacing w:before="60" w:after="60" w:line="240" w:lineRule="auto"/>
            </w:pPr>
          </w:p>
          <w:p w:rsidR="00292B29" w:rsidRDefault="00292B29" w:rsidP="00AB480F">
            <w:pPr>
              <w:pStyle w:val="ISOComments"/>
              <w:spacing w:before="60" w:after="60" w:line="240" w:lineRule="auto"/>
            </w:pPr>
            <w:r>
              <w:t xml:space="preserve">Mandatory and optional data elements on the cargo shipment tags should be agreed to by both the shipper/consignee community and the carriers. </w:t>
            </w:r>
          </w:p>
          <w:p w:rsidR="00F91C71" w:rsidRDefault="00292B29" w:rsidP="00292B29">
            <w:pPr>
              <w:pStyle w:val="ISOComments"/>
              <w:spacing w:before="60" w:after="60" w:line="240" w:lineRule="auto"/>
            </w:pPr>
            <w:r>
              <w:t>Loading times, Container serial #, embarkation/de-embarkation locations are key elements that can not be decided by one single party. They require consultations with all players in the business process.</w:t>
            </w:r>
          </w:p>
        </w:tc>
        <w:tc>
          <w:tcPr>
            <w:tcW w:w="4253" w:type="dxa"/>
            <w:tcBorders>
              <w:top w:val="single" w:sz="6" w:space="0" w:color="auto"/>
              <w:left w:val="single" w:sz="6" w:space="0" w:color="auto"/>
              <w:bottom w:val="single" w:sz="6" w:space="0" w:color="auto"/>
              <w:right w:val="single" w:sz="6" w:space="0" w:color="auto"/>
            </w:tcBorders>
          </w:tcPr>
          <w:p w:rsidR="00F91C71" w:rsidRDefault="00625D79" w:rsidP="00F91C71">
            <w:pPr>
              <w:pStyle w:val="Terms"/>
              <w:rPr>
                <w:b w:val="0"/>
              </w:rPr>
            </w:pPr>
            <w:r>
              <w:rPr>
                <w:b w:val="0"/>
              </w:rPr>
              <w:t>Updates in red:</w:t>
            </w:r>
          </w:p>
          <w:p w:rsidR="00625D79" w:rsidRPr="00E0403E" w:rsidRDefault="00625D79" w:rsidP="00625D79">
            <w:pPr>
              <w:pStyle w:val="ListNumber"/>
              <w:tabs>
                <w:tab w:val="clear" w:pos="360"/>
                <w:tab w:val="clear" w:pos="400"/>
              </w:tabs>
              <w:ind w:left="337" w:hanging="337"/>
              <w:rPr>
                <w:rFonts w:ascii="Courier New" w:hAnsi="Courier New"/>
                <w:sz w:val="22"/>
              </w:rPr>
            </w:pPr>
            <w:r>
              <w:rPr>
                <w:rFonts w:ascii="Courier New" w:hAnsi="Courier New"/>
                <w:sz w:val="22"/>
              </w:rPr>
              <w:t>Makes s</w:t>
            </w:r>
            <w:r w:rsidRPr="00E0403E">
              <w:rPr>
                <w:rFonts w:ascii="Courier New" w:hAnsi="Courier New"/>
                <w:sz w:val="22"/>
              </w:rPr>
              <w:t>pecific recommendations about mandatory non-reprogrammable information on the shipment ta</w:t>
            </w:r>
            <w:r>
              <w:rPr>
                <w:rFonts w:ascii="Courier New" w:hAnsi="Courier New"/>
                <w:sz w:val="22"/>
              </w:rPr>
              <w:t xml:space="preserve">g </w:t>
            </w:r>
            <w:r w:rsidRPr="00625D79">
              <w:rPr>
                <w:rFonts w:ascii="Courier New" w:hAnsi="Courier New"/>
                <w:b/>
                <w:color w:val="FF0000"/>
                <w:sz w:val="22"/>
              </w:rPr>
              <w:t>based on a series of new data elements defined in ISO 18186</w:t>
            </w:r>
            <w:r w:rsidR="0011401A">
              <w:rPr>
                <w:rFonts w:ascii="Courier New" w:hAnsi="Courier New"/>
                <w:b/>
                <w:color w:val="FF0000"/>
                <w:sz w:val="22"/>
              </w:rPr>
              <w:t xml:space="preserve"> currently under development in ISO TC104</w:t>
            </w:r>
            <w:r w:rsidRPr="00625D79">
              <w:rPr>
                <w:rFonts w:ascii="Courier New" w:hAnsi="Courier New"/>
                <w:b/>
                <w:color w:val="FF0000"/>
                <w:sz w:val="22"/>
              </w:rPr>
              <w:t>.</w:t>
            </w:r>
          </w:p>
          <w:p w:rsidR="00625D79" w:rsidRDefault="00625D79" w:rsidP="00625D79">
            <w:pPr>
              <w:pStyle w:val="ListNumber"/>
              <w:tabs>
                <w:tab w:val="clear" w:pos="360"/>
                <w:tab w:val="clear" w:pos="400"/>
              </w:tabs>
              <w:ind w:left="337" w:hanging="337"/>
              <w:rPr>
                <w:rFonts w:ascii="Courier New" w:hAnsi="Courier New"/>
                <w:sz w:val="22"/>
              </w:rPr>
            </w:pPr>
            <w:r>
              <w:rPr>
                <w:rFonts w:ascii="Courier New" w:hAnsi="Courier New"/>
                <w:sz w:val="22"/>
              </w:rPr>
              <w:t>Makes s</w:t>
            </w:r>
            <w:r w:rsidRPr="00E0403E">
              <w:rPr>
                <w:rFonts w:ascii="Courier New" w:hAnsi="Courier New"/>
                <w:sz w:val="22"/>
              </w:rPr>
              <w:t>pecific recommendations about optional, re-programmable information on the shipment tag</w:t>
            </w:r>
            <w:r>
              <w:rPr>
                <w:rFonts w:ascii="Courier New" w:hAnsi="Courier New"/>
                <w:sz w:val="22"/>
              </w:rPr>
              <w:t xml:space="preserve"> </w:t>
            </w:r>
            <w:r w:rsidRPr="00625D79">
              <w:rPr>
                <w:rFonts w:ascii="Courier New" w:hAnsi="Courier New"/>
                <w:b/>
                <w:color w:val="FF0000"/>
                <w:sz w:val="22"/>
              </w:rPr>
              <w:t>based on a series of new data elements defined in ISO 18186</w:t>
            </w:r>
            <w:r w:rsidR="0011401A">
              <w:rPr>
                <w:rFonts w:ascii="Courier New" w:hAnsi="Courier New"/>
                <w:b/>
                <w:color w:val="FF0000"/>
                <w:sz w:val="22"/>
              </w:rPr>
              <w:t xml:space="preserve"> currently under development in ISO TC104.</w:t>
            </w:r>
          </w:p>
          <w:p w:rsidR="00625D79" w:rsidRPr="00625D79" w:rsidRDefault="00625D79" w:rsidP="00625D79">
            <w:pPr>
              <w:pStyle w:val="Definition"/>
            </w:pPr>
          </w:p>
        </w:tc>
        <w:tc>
          <w:tcPr>
            <w:tcW w:w="2552" w:type="dxa"/>
            <w:tcBorders>
              <w:top w:val="single" w:sz="6" w:space="0" w:color="auto"/>
              <w:left w:val="single" w:sz="6" w:space="0" w:color="auto"/>
              <w:bottom w:val="single" w:sz="6" w:space="0" w:color="auto"/>
              <w:right w:val="single" w:sz="6" w:space="0" w:color="auto"/>
            </w:tcBorders>
          </w:tcPr>
          <w:p w:rsidR="00F91C71" w:rsidRPr="00EF6B64" w:rsidRDefault="00F91C71" w:rsidP="008D3FC7">
            <w:pPr>
              <w:pStyle w:val="ISOSecretObservations"/>
              <w:spacing w:before="60" w:after="60" w:line="240" w:lineRule="auto"/>
              <w:jc w:val="both"/>
              <w:rPr>
                <w:sz w:val="16"/>
                <w:szCs w:val="16"/>
              </w:rPr>
            </w:pPr>
          </w:p>
        </w:tc>
      </w:tr>
      <w:tr w:rsidR="0011401A">
        <w:trPr>
          <w:jc w:val="center"/>
        </w:trPr>
        <w:tc>
          <w:tcPr>
            <w:tcW w:w="567" w:type="dxa"/>
            <w:tcBorders>
              <w:top w:val="single" w:sz="6" w:space="0" w:color="auto"/>
              <w:left w:val="single" w:sz="6" w:space="0" w:color="auto"/>
              <w:bottom w:val="single" w:sz="6" w:space="0" w:color="auto"/>
              <w:right w:val="single" w:sz="6" w:space="0" w:color="auto"/>
            </w:tcBorders>
          </w:tcPr>
          <w:p w:rsidR="0011401A" w:rsidRDefault="00292B29" w:rsidP="009C02A1">
            <w:pPr>
              <w:pStyle w:val="ISOMB"/>
              <w:spacing w:before="60" w:after="60" w:line="240" w:lineRule="auto"/>
              <w:jc w:val="center"/>
            </w:pPr>
            <w:r>
              <w:t>S3</w:t>
            </w:r>
            <w:r w:rsidR="007B5E16">
              <w:t xml:space="preserve"> </w:t>
            </w:r>
          </w:p>
        </w:tc>
        <w:tc>
          <w:tcPr>
            <w:tcW w:w="1361" w:type="dxa"/>
            <w:tcBorders>
              <w:top w:val="single" w:sz="6" w:space="0" w:color="auto"/>
              <w:left w:val="single" w:sz="6" w:space="0" w:color="auto"/>
              <w:bottom w:val="single" w:sz="6" w:space="0" w:color="auto"/>
              <w:right w:val="single" w:sz="6" w:space="0" w:color="auto"/>
            </w:tcBorders>
          </w:tcPr>
          <w:p w:rsidR="0011401A" w:rsidRDefault="0011401A" w:rsidP="009C02A1">
            <w:pPr>
              <w:pStyle w:val="ISOClause"/>
              <w:spacing w:before="60" w:after="60" w:line="240" w:lineRule="auto"/>
              <w:jc w:val="center"/>
            </w:pPr>
            <w:r>
              <w:t xml:space="preserve">Scope of the proposed project </w:t>
            </w:r>
          </w:p>
        </w:tc>
        <w:tc>
          <w:tcPr>
            <w:tcW w:w="1247" w:type="dxa"/>
            <w:tcBorders>
              <w:top w:val="single" w:sz="6" w:space="0" w:color="auto"/>
              <w:left w:val="single" w:sz="6" w:space="0" w:color="auto"/>
              <w:bottom w:val="single" w:sz="6" w:space="0" w:color="auto"/>
              <w:right w:val="single" w:sz="6" w:space="0" w:color="auto"/>
            </w:tcBorders>
          </w:tcPr>
          <w:p w:rsidR="0011401A" w:rsidRDefault="0011401A" w:rsidP="009C02A1">
            <w:pPr>
              <w:pStyle w:val="ISOParagraph"/>
              <w:spacing w:before="60" w:after="60" w:line="240" w:lineRule="auto"/>
              <w:jc w:val="center"/>
            </w:pPr>
          </w:p>
        </w:tc>
        <w:tc>
          <w:tcPr>
            <w:tcW w:w="709" w:type="dxa"/>
            <w:tcBorders>
              <w:top w:val="single" w:sz="6" w:space="0" w:color="auto"/>
              <w:left w:val="single" w:sz="6" w:space="0" w:color="auto"/>
              <w:bottom w:val="single" w:sz="6" w:space="0" w:color="auto"/>
              <w:right w:val="single" w:sz="6" w:space="0" w:color="auto"/>
            </w:tcBorders>
          </w:tcPr>
          <w:p w:rsidR="0011401A" w:rsidRDefault="0011401A" w:rsidP="009C02A1">
            <w:pPr>
              <w:pStyle w:val="ISOCommType"/>
              <w:spacing w:before="60" w:after="60" w:line="240" w:lineRule="auto"/>
              <w:jc w:val="center"/>
            </w:pPr>
            <w:r>
              <w:t>Ge</w:t>
            </w:r>
          </w:p>
        </w:tc>
        <w:tc>
          <w:tcPr>
            <w:tcW w:w="4820" w:type="dxa"/>
            <w:tcBorders>
              <w:top w:val="single" w:sz="6" w:space="0" w:color="auto"/>
              <w:left w:val="single" w:sz="6" w:space="0" w:color="auto"/>
              <w:bottom w:val="single" w:sz="6" w:space="0" w:color="auto"/>
              <w:right w:val="single" w:sz="6" w:space="0" w:color="auto"/>
            </w:tcBorders>
          </w:tcPr>
          <w:p w:rsidR="0011401A" w:rsidRDefault="0011401A" w:rsidP="00C14D28">
            <w:pPr>
              <w:pStyle w:val="ISOComments"/>
              <w:spacing w:before="60" w:after="60" w:line="240" w:lineRule="auto"/>
            </w:pPr>
            <w:r>
              <w:t xml:space="preserve">The GPS </w:t>
            </w:r>
            <w:r w:rsidR="00C14D28">
              <w:t>interface</w:t>
            </w:r>
            <w:r>
              <w:t xml:space="preserve"> </w:t>
            </w:r>
            <w:r w:rsidR="00380F9D">
              <w:t>should</w:t>
            </w:r>
            <w:r>
              <w:t xml:space="preserve"> be handled the same way as </w:t>
            </w:r>
            <w:r w:rsidR="00C14D28">
              <w:t xml:space="preserve">the </w:t>
            </w:r>
            <w:r>
              <w:t>sensor</w:t>
            </w:r>
            <w:r w:rsidR="00C14D28">
              <w:t xml:space="preserve"> interface </w:t>
            </w:r>
            <w:r w:rsidR="00380F9D">
              <w:sym w:font="Wingdings" w:char="F0E0"/>
            </w:r>
            <w:r w:rsidR="00380F9D">
              <w:t xml:space="preserve"> </w:t>
            </w:r>
            <w:r w:rsidR="00C14D28">
              <w:t>by the air interface protocol.</w:t>
            </w:r>
          </w:p>
          <w:p w:rsidR="00D555F7" w:rsidRDefault="00D555F7" w:rsidP="00C14D28">
            <w:pPr>
              <w:pStyle w:val="ISOComments"/>
              <w:spacing w:before="60" w:after="60" w:line="240" w:lineRule="auto"/>
            </w:pPr>
          </w:p>
          <w:p w:rsidR="006F2DE4" w:rsidRDefault="00C14D28" w:rsidP="00C14D28">
            <w:pPr>
              <w:pStyle w:val="ISOComments"/>
              <w:spacing w:before="60" w:after="60" w:line="240" w:lineRule="auto"/>
            </w:pPr>
            <w:r>
              <w:t xml:space="preserve">The </w:t>
            </w:r>
            <w:r w:rsidR="006F2DE4">
              <w:t xml:space="preserve">format of the </w:t>
            </w:r>
            <w:r>
              <w:t xml:space="preserve">GPS </w:t>
            </w:r>
            <w:r w:rsidR="006F2DE4">
              <w:t>data and the control commands (configuration, enabling) should be referenced but not defined in ISO 17363.</w:t>
            </w:r>
          </w:p>
          <w:p w:rsidR="006F2DE4" w:rsidRDefault="006F2DE4" w:rsidP="00C14D28">
            <w:pPr>
              <w:pStyle w:val="ISOComments"/>
              <w:spacing w:before="60" w:after="60" w:line="240" w:lineRule="auto"/>
            </w:pPr>
          </w:p>
          <w:p w:rsidR="006F2DE4" w:rsidRDefault="006F2DE4" w:rsidP="00C14D28">
            <w:pPr>
              <w:pStyle w:val="ISOComments"/>
              <w:spacing w:before="60" w:after="60" w:line="240" w:lineRule="auto"/>
            </w:pPr>
            <w:r>
              <w:t>The communication methods from the GPS interface are part of the air interface protocol.</w:t>
            </w:r>
          </w:p>
          <w:p w:rsidR="00380F9D" w:rsidRDefault="00380F9D" w:rsidP="00380F9D">
            <w:pPr>
              <w:pStyle w:val="ISOComments"/>
              <w:spacing w:before="60" w:after="60" w:line="240" w:lineRule="auto"/>
            </w:pPr>
          </w:p>
        </w:tc>
        <w:tc>
          <w:tcPr>
            <w:tcW w:w="4253" w:type="dxa"/>
            <w:tcBorders>
              <w:top w:val="single" w:sz="6" w:space="0" w:color="auto"/>
              <w:left w:val="single" w:sz="6" w:space="0" w:color="auto"/>
              <w:bottom w:val="single" w:sz="6" w:space="0" w:color="auto"/>
              <w:right w:val="single" w:sz="6" w:space="0" w:color="auto"/>
            </w:tcBorders>
          </w:tcPr>
          <w:p w:rsidR="00380F9D" w:rsidRDefault="00380F9D" w:rsidP="00380F9D">
            <w:pPr>
              <w:rPr>
                <w:color w:val="FF0000"/>
              </w:rPr>
            </w:pPr>
            <w:r>
              <w:rPr>
                <w:color w:val="FF0000"/>
              </w:rPr>
              <w:t>Strike out the following:</w:t>
            </w:r>
          </w:p>
          <w:p w:rsidR="00380F9D" w:rsidRDefault="00380F9D" w:rsidP="00380F9D">
            <w:pPr>
              <w:pStyle w:val="ListNumber"/>
              <w:tabs>
                <w:tab w:val="clear" w:pos="360"/>
                <w:tab w:val="clear" w:pos="400"/>
              </w:tabs>
              <w:ind w:left="337" w:hanging="337"/>
              <w:rPr>
                <w:rFonts w:ascii="Courier New" w:hAnsi="Courier New"/>
                <w:sz w:val="22"/>
              </w:rPr>
            </w:pPr>
            <w:r>
              <w:rPr>
                <w:rFonts w:ascii="Courier New" w:hAnsi="Courier New"/>
                <w:sz w:val="22"/>
              </w:rPr>
              <w:t>Makes specific recommends about the data link interface for GPS or GLS services.</w:t>
            </w:r>
          </w:p>
          <w:p w:rsidR="006F2DE4" w:rsidRDefault="006F2DE4" w:rsidP="006F2DE4">
            <w:pPr>
              <w:pStyle w:val="ListNumber"/>
              <w:numPr>
                <w:ilvl w:val="0"/>
                <w:numId w:val="0"/>
              </w:numPr>
              <w:tabs>
                <w:tab w:val="clear" w:pos="400"/>
              </w:tabs>
              <w:rPr>
                <w:rFonts w:ascii="Courier New" w:hAnsi="Courier New"/>
                <w:sz w:val="22"/>
              </w:rPr>
            </w:pPr>
          </w:p>
          <w:p w:rsidR="0011401A" w:rsidRPr="00CE2BFE" w:rsidRDefault="0011401A" w:rsidP="008D3FC7">
            <w:pPr>
              <w:pStyle w:val="Terms"/>
              <w:rPr>
                <w:b w:val="0"/>
              </w:rPr>
            </w:pPr>
          </w:p>
        </w:tc>
        <w:tc>
          <w:tcPr>
            <w:tcW w:w="2552" w:type="dxa"/>
            <w:tcBorders>
              <w:top w:val="single" w:sz="6" w:space="0" w:color="auto"/>
              <w:left w:val="single" w:sz="6" w:space="0" w:color="auto"/>
              <w:bottom w:val="single" w:sz="6" w:space="0" w:color="auto"/>
              <w:right w:val="single" w:sz="6" w:space="0" w:color="auto"/>
            </w:tcBorders>
          </w:tcPr>
          <w:p w:rsidR="0011401A" w:rsidRPr="00EF6B64" w:rsidRDefault="0011401A" w:rsidP="008D3FC7">
            <w:pPr>
              <w:pStyle w:val="ISOSecretObservations"/>
              <w:spacing w:before="60" w:after="60" w:line="240" w:lineRule="auto"/>
              <w:jc w:val="both"/>
              <w:rPr>
                <w:sz w:val="16"/>
                <w:szCs w:val="16"/>
              </w:rPr>
            </w:pPr>
          </w:p>
        </w:tc>
      </w:tr>
      <w:tr w:rsidR="007B5E16">
        <w:trPr>
          <w:jc w:val="center"/>
        </w:trPr>
        <w:tc>
          <w:tcPr>
            <w:tcW w:w="567" w:type="dxa"/>
            <w:tcBorders>
              <w:top w:val="single" w:sz="6" w:space="0" w:color="auto"/>
              <w:left w:val="single" w:sz="6" w:space="0" w:color="auto"/>
              <w:bottom w:val="single" w:sz="6" w:space="0" w:color="auto"/>
              <w:right w:val="single" w:sz="6" w:space="0" w:color="auto"/>
            </w:tcBorders>
          </w:tcPr>
          <w:p w:rsidR="007B5E16" w:rsidRDefault="00E975A8" w:rsidP="008D3FC7">
            <w:pPr>
              <w:pStyle w:val="ISOMB"/>
              <w:spacing w:before="60" w:after="60" w:line="240" w:lineRule="auto"/>
              <w:jc w:val="center"/>
            </w:pPr>
            <w:r>
              <w:t>S4</w:t>
            </w:r>
          </w:p>
        </w:tc>
        <w:tc>
          <w:tcPr>
            <w:tcW w:w="1361" w:type="dxa"/>
            <w:tcBorders>
              <w:top w:val="single" w:sz="6" w:space="0" w:color="auto"/>
              <w:left w:val="single" w:sz="6" w:space="0" w:color="auto"/>
              <w:bottom w:val="single" w:sz="6" w:space="0" w:color="auto"/>
              <w:right w:val="single" w:sz="6" w:space="0" w:color="auto"/>
            </w:tcBorders>
          </w:tcPr>
          <w:p w:rsidR="007B5E16" w:rsidRDefault="007B5E16" w:rsidP="009C02A1">
            <w:pPr>
              <w:pStyle w:val="ISOClause"/>
              <w:spacing w:before="60" w:after="60" w:line="240" w:lineRule="auto"/>
              <w:jc w:val="center"/>
            </w:pPr>
            <w:r>
              <w:t xml:space="preserve">Scope of the proposed project </w:t>
            </w:r>
          </w:p>
        </w:tc>
        <w:tc>
          <w:tcPr>
            <w:tcW w:w="1247" w:type="dxa"/>
            <w:tcBorders>
              <w:top w:val="single" w:sz="6" w:space="0" w:color="auto"/>
              <w:left w:val="single" w:sz="6" w:space="0" w:color="auto"/>
              <w:bottom w:val="single" w:sz="6" w:space="0" w:color="auto"/>
              <w:right w:val="single" w:sz="6" w:space="0" w:color="auto"/>
            </w:tcBorders>
          </w:tcPr>
          <w:p w:rsidR="007B5E16" w:rsidRDefault="007B5E16" w:rsidP="009C02A1">
            <w:pPr>
              <w:pStyle w:val="ISOParagraph"/>
              <w:spacing w:before="60" w:after="60" w:line="240" w:lineRule="auto"/>
              <w:jc w:val="center"/>
            </w:pPr>
          </w:p>
        </w:tc>
        <w:tc>
          <w:tcPr>
            <w:tcW w:w="709" w:type="dxa"/>
            <w:tcBorders>
              <w:top w:val="single" w:sz="6" w:space="0" w:color="auto"/>
              <w:left w:val="single" w:sz="6" w:space="0" w:color="auto"/>
              <w:bottom w:val="single" w:sz="6" w:space="0" w:color="auto"/>
              <w:right w:val="single" w:sz="6" w:space="0" w:color="auto"/>
            </w:tcBorders>
          </w:tcPr>
          <w:p w:rsidR="007B5E16" w:rsidRDefault="007B5E16" w:rsidP="009C02A1">
            <w:pPr>
              <w:pStyle w:val="ISOCommType"/>
              <w:spacing w:before="60" w:after="60" w:line="240" w:lineRule="auto"/>
              <w:jc w:val="center"/>
            </w:pPr>
            <w:r>
              <w:t>Ge</w:t>
            </w:r>
          </w:p>
        </w:tc>
        <w:tc>
          <w:tcPr>
            <w:tcW w:w="4820" w:type="dxa"/>
            <w:tcBorders>
              <w:top w:val="single" w:sz="6" w:space="0" w:color="auto"/>
              <w:left w:val="single" w:sz="6" w:space="0" w:color="auto"/>
              <w:bottom w:val="single" w:sz="6" w:space="0" w:color="auto"/>
              <w:right w:val="single" w:sz="6" w:space="0" w:color="auto"/>
            </w:tcBorders>
          </w:tcPr>
          <w:p w:rsidR="007B5E16" w:rsidRDefault="007B5E16" w:rsidP="007B5E16">
            <w:pPr>
              <w:pStyle w:val="ISOComments"/>
              <w:spacing w:before="60" w:after="60" w:line="240" w:lineRule="auto"/>
            </w:pPr>
            <w:r>
              <w:t>The entire section describing the potential benefits of the shipment tag to the shipper and consignee is argumentative.</w:t>
            </w:r>
            <w:r w:rsidR="002E6F19">
              <w:t xml:space="preserve"> There is no </w:t>
            </w:r>
            <w:r w:rsidR="00547C1E">
              <w:t>reason for the NP to describe a</w:t>
            </w:r>
            <w:r w:rsidR="002E6F19">
              <w:t xml:space="preserve"> shipper’s (or a consignee’s) business scenario. This text suggests that the current standard does not support the described business scenarios.</w:t>
            </w:r>
          </w:p>
          <w:p w:rsidR="002E6F19" w:rsidRDefault="002E6F19" w:rsidP="007B5E16">
            <w:pPr>
              <w:pStyle w:val="ISOComments"/>
              <w:spacing w:before="60" w:after="60" w:line="240" w:lineRule="auto"/>
            </w:pPr>
          </w:p>
          <w:p w:rsidR="002E6F19" w:rsidRDefault="004F2102" w:rsidP="007B5E16">
            <w:pPr>
              <w:pStyle w:val="ISOComments"/>
              <w:spacing w:before="60" w:after="60" w:line="240" w:lineRule="auto"/>
            </w:pPr>
            <w:r>
              <w:t>Who from s</w:t>
            </w:r>
            <w:r w:rsidR="002E6F19">
              <w:t xml:space="preserve">hipper </w:t>
            </w:r>
            <w:r>
              <w:t xml:space="preserve">or importer </w:t>
            </w:r>
            <w:r w:rsidR="002E6F19">
              <w:t>community has come forward and explicitly asked for updates to be made to the business processes listed in clause 6.3 of the standard</w:t>
            </w:r>
            <w:r w:rsidR="002E6299">
              <w:t>?</w:t>
            </w:r>
          </w:p>
          <w:p w:rsidR="007B5E16" w:rsidRDefault="002E6299" w:rsidP="007B5E16">
            <w:pPr>
              <w:pStyle w:val="ISOComments"/>
              <w:spacing w:before="60" w:after="60" w:line="240" w:lineRule="auto"/>
            </w:pPr>
            <w:r>
              <w:t>This information s not provided as part of this NP.</w:t>
            </w:r>
          </w:p>
          <w:p w:rsidR="007B5E16" w:rsidRDefault="007B5E16" w:rsidP="007B5E16">
            <w:pPr>
              <w:pStyle w:val="ISOComments"/>
              <w:spacing w:before="60" w:after="60" w:line="240" w:lineRule="auto"/>
            </w:pPr>
          </w:p>
          <w:p w:rsidR="002E6299" w:rsidRDefault="002E6299" w:rsidP="007B5E16">
            <w:pPr>
              <w:pStyle w:val="ISOComments"/>
              <w:spacing w:before="60" w:after="60" w:line="240" w:lineRule="auto"/>
            </w:pPr>
            <w:r>
              <w:t xml:space="preserve">Also, one </w:t>
            </w:r>
            <w:r w:rsidR="00547C1E">
              <w:t xml:space="preserve">can </w:t>
            </w:r>
            <w:r>
              <w:t>not develop a set of shipment tag requirements without involving the carrier community. Suggesting otherwise is simply not practical.</w:t>
            </w:r>
          </w:p>
          <w:p w:rsidR="007B5E16" w:rsidRDefault="007B5E16" w:rsidP="007B5E16">
            <w:pPr>
              <w:pStyle w:val="ISOComments"/>
              <w:spacing w:before="60" w:after="60" w:line="240" w:lineRule="auto"/>
            </w:pPr>
          </w:p>
        </w:tc>
        <w:tc>
          <w:tcPr>
            <w:tcW w:w="4253" w:type="dxa"/>
            <w:tcBorders>
              <w:top w:val="single" w:sz="6" w:space="0" w:color="auto"/>
              <w:left w:val="single" w:sz="6" w:space="0" w:color="auto"/>
              <w:bottom w:val="single" w:sz="6" w:space="0" w:color="auto"/>
              <w:right w:val="single" w:sz="6" w:space="0" w:color="auto"/>
            </w:tcBorders>
          </w:tcPr>
          <w:p w:rsidR="002E6F19" w:rsidRDefault="002E6F19" w:rsidP="002E6F19">
            <w:pPr>
              <w:rPr>
                <w:color w:val="FF0000"/>
              </w:rPr>
            </w:pPr>
            <w:r>
              <w:rPr>
                <w:color w:val="FF0000"/>
              </w:rPr>
              <w:t>Strike out the following:</w:t>
            </w:r>
          </w:p>
          <w:p w:rsidR="002E6F19" w:rsidRDefault="002E6F19" w:rsidP="002E6F19">
            <w:pPr>
              <w:rPr>
                <w:rFonts w:ascii="Courier New" w:hAnsi="Courier New"/>
              </w:rPr>
            </w:pPr>
            <w:r w:rsidRPr="00E0403E">
              <w:rPr>
                <w:rFonts w:ascii="Courier New" w:hAnsi="Courier New"/>
              </w:rPr>
              <w:t>This tag is specifically intended to benefit the shipper and consignee of containerized freight.  This tag and the data resident in the tag shall be the responsibility of the shipper and the consignee.  The containerized freight carrier shall bear no responsibility for this tag, except as agreed upon between the shipper or consignee and the carrier.  The shipper or, per the shipper’s instructions, the party physically loading (“stuffing”) the container will affix the tag. Notwithstanding the absence of carrier responsibility for the tag, data capabilities are flexible and may, at the shipper’s discretion, include destination, routing, conveyance or other transportation information, cargo information (including hazardous material information, where applicable) or other trip-specific information.  The tag shall perform reliably from the point of stuffing of the container to delivery destination, and shall be removed by the consignee upon final delivery.  The tag may be reusable.</w:t>
            </w:r>
          </w:p>
          <w:p w:rsidR="007B5E16" w:rsidRPr="00CE2BFE" w:rsidRDefault="007B5E16" w:rsidP="008D3FC7">
            <w:pPr>
              <w:pStyle w:val="Terms"/>
              <w:rPr>
                <w:b w:val="0"/>
              </w:rPr>
            </w:pPr>
          </w:p>
        </w:tc>
        <w:tc>
          <w:tcPr>
            <w:tcW w:w="2552" w:type="dxa"/>
            <w:tcBorders>
              <w:top w:val="single" w:sz="6" w:space="0" w:color="auto"/>
              <w:left w:val="single" w:sz="6" w:space="0" w:color="auto"/>
              <w:bottom w:val="single" w:sz="6" w:space="0" w:color="auto"/>
              <w:right w:val="single" w:sz="6" w:space="0" w:color="auto"/>
            </w:tcBorders>
          </w:tcPr>
          <w:p w:rsidR="007B5E16" w:rsidRPr="00EF6B64" w:rsidRDefault="007B5E16" w:rsidP="008D3FC7">
            <w:pPr>
              <w:pStyle w:val="ISOSecretObservations"/>
              <w:spacing w:before="60" w:after="60" w:line="240" w:lineRule="auto"/>
              <w:jc w:val="both"/>
              <w:rPr>
                <w:sz w:val="16"/>
                <w:szCs w:val="16"/>
              </w:rPr>
            </w:pPr>
          </w:p>
        </w:tc>
      </w:tr>
      <w:tr w:rsidR="007B5E16">
        <w:trPr>
          <w:jc w:val="center"/>
        </w:trPr>
        <w:tc>
          <w:tcPr>
            <w:tcW w:w="567" w:type="dxa"/>
            <w:tcBorders>
              <w:top w:val="single" w:sz="6" w:space="0" w:color="auto"/>
              <w:left w:val="single" w:sz="6" w:space="0" w:color="auto"/>
              <w:bottom w:val="single" w:sz="6" w:space="0" w:color="auto"/>
              <w:right w:val="single" w:sz="6" w:space="0" w:color="auto"/>
            </w:tcBorders>
          </w:tcPr>
          <w:p w:rsidR="007B5E16" w:rsidRDefault="00E975A8" w:rsidP="008D3FC7">
            <w:pPr>
              <w:pStyle w:val="ISOMB"/>
              <w:spacing w:before="60" w:after="60" w:line="240" w:lineRule="auto"/>
              <w:jc w:val="center"/>
            </w:pPr>
            <w:r>
              <w:t>S5</w:t>
            </w:r>
          </w:p>
        </w:tc>
        <w:tc>
          <w:tcPr>
            <w:tcW w:w="1361" w:type="dxa"/>
            <w:tcBorders>
              <w:top w:val="single" w:sz="6" w:space="0" w:color="auto"/>
              <w:left w:val="single" w:sz="6" w:space="0" w:color="auto"/>
              <w:bottom w:val="single" w:sz="6" w:space="0" w:color="auto"/>
              <w:right w:val="single" w:sz="6" w:space="0" w:color="auto"/>
            </w:tcBorders>
          </w:tcPr>
          <w:p w:rsidR="007B5E16" w:rsidRDefault="004F2102" w:rsidP="008D3FC7">
            <w:pPr>
              <w:pStyle w:val="ISOClause"/>
              <w:spacing w:before="60" w:after="60" w:line="240" w:lineRule="auto"/>
              <w:jc w:val="center"/>
            </w:pPr>
            <w:r>
              <w:t xml:space="preserve">Purpose and justification </w:t>
            </w:r>
          </w:p>
        </w:tc>
        <w:tc>
          <w:tcPr>
            <w:tcW w:w="1247" w:type="dxa"/>
            <w:tcBorders>
              <w:top w:val="single" w:sz="6" w:space="0" w:color="auto"/>
              <w:left w:val="single" w:sz="6" w:space="0" w:color="auto"/>
              <w:bottom w:val="single" w:sz="6" w:space="0" w:color="auto"/>
              <w:right w:val="single" w:sz="6" w:space="0" w:color="auto"/>
            </w:tcBorders>
          </w:tcPr>
          <w:p w:rsidR="007B5E16" w:rsidRDefault="007B5E16" w:rsidP="008D3FC7">
            <w:pPr>
              <w:pStyle w:val="ISOParagraph"/>
              <w:spacing w:before="60" w:after="60" w:line="240" w:lineRule="auto"/>
              <w:jc w:val="center"/>
            </w:pPr>
          </w:p>
        </w:tc>
        <w:tc>
          <w:tcPr>
            <w:tcW w:w="709" w:type="dxa"/>
            <w:tcBorders>
              <w:top w:val="single" w:sz="6" w:space="0" w:color="auto"/>
              <w:left w:val="single" w:sz="6" w:space="0" w:color="auto"/>
              <w:bottom w:val="single" w:sz="6" w:space="0" w:color="auto"/>
              <w:right w:val="single" w:sz="6" w:space="0" w:color="auto"/>
            </w:tcBorders>
          </w:tcPr>
          <w:p w:rsidR="007B5E16" w:rsidRDefault="004F2102" w:rsidP="008D3FC7">
            <w:pPr>
              <w:pStyle w:val="ISOCommType"/>
              <w:spacing w:before="60" w:after="60" w:line="240" w:lineRule="auto"/>
              <w:jc w:val="center"/>
            </w:pPr>
            <w:r>
              <w:t>Ge</w:t>
            </w:r>
          </w:p>
        </w:tc>
        <w:tc>
          <w:tcPr>
            <w:tcW w:w="4820" w:type="dxa"/>
            <w:tcBorders>
              <w:top w:val="single" w:sz="6" w:space="0" w:color="auto"/>
              <w:left w:val="single" w:sz="6" w:space="0" w:color="auto"/>
              <w:bottom w:val="single" w:sz="6" w:space="0" w:color="auto"/>
              <w:right w:val="single" w:sz="6" w:space="0" w:color="auto"/>
            </w:tcBorders>
          </w:tcPr>
          <w:p w:rsidR="007B5E16" w:rsidRDefault="004F2102" w:rsidP="00AB480F">
            <w:pPr>
              <w:pStyle w:val="ISOComments"/>
              <w:spacing w:before="60" w:after="60" w:line="240" w:lineRule="auto"/>
            </w:pPr>
            <w:r>
              <w:t>ISO 18000-7’s next revision will include  details about the sensor interface:</w:t>
            </w:r>
          </w:p>
          <w:p w:rsidR="004F2102" w:rsidRDefault="004F2102" w:rsidP="00AB480F">
            <w:pPr>
              <w:pStyle w:val="ISOComments"/>
              <w:spacing w:before="60" w:after="60" w:line="240" w:lineRule="auto"/>
            </w:pPr>
            <w:r>
              <w:t>In section 6.3.12.5 of the current published standard, there is a footnote indicating the following:</w:t>
            </w:r>
          </w:p>
          <w:p w:rsidR="004F2102" w:rsidRDefault="004F2102" w:rsidP="00AB480F">
            <w:pPr>
              <w:pStyle w:val="ISOComments"/>
              <w:spacing w:before="60" w:after="60" w:line="240" w:lineRule="auto"/>
            </w:pPr>
          </w:p>
          <w:p w:rsidR="004F2102" w:rsidRPr="004F2102" w:rsidRDefault="004F2102" w:rsidP="004F2102">
            <w:pPr>
              <w:autoSpaceDE w:val="0"/>
              <w:autoSpaceDN w:val="0"/>
              <w:adjustRightInd w:val="0"/>
              <w:jc w:val="left"/>
              <w:rPr>
                <w:rFonts w:cs="Arial"/>
                <w:i/>
                <w:sz w:val="18"/>
                <w:szCs w:val="18"/>
                <w:lang w:val="en-US"/>
              </w:rPr>
            </w:pPr>
            <w:r w:rsidRPr="004F2102">
              <w:rPr>
                <w:rFonts w:cs="Arial"/>
                <w:i/>
                <w:sz w:val="18"/>
                <w:szCs w:val="18"/>
                <w:lang w:val="en-US"/>
              </w:rPr>
              <w:t>The target standard for future implementations of sensor technology for RFID is IEEE 1451.7. It is anticipated that</w:t>
            </w:r>
          </w:p>
          <w:p w:rsidR="004F2102" w:rsidRPr="004F2102" w:rsidRDefault="004F2102" w:rsidP="004F2102">
            <w:pPr>
              <w:autoSpaceDE w:val="0"/>
              <w:autoSpaceDN w:val="0"/>
              <w:adjustRightInd w:val="0"/>
              <w:jc w:val="left"/>
              <w:rPr>
                <w:rFonts w:cs="Arial"/>
                <w:i/>
                <w:sz w:val="18"/>
                <w:szCs w:val="18"/>
                <w:lang w:val="en-US"/>
              </w:rPr>
            </w:pPr>
            <w:r w:rsidRPr="004F2102">
              <w:rPr>
                <w:rFonts w:cs="Arial"/>
                <w:i/>
                <w:sz w:val="18"/>
                <w:szCs w:val="18"/>
                <w:lang w:val="en-US"/>
              </w:rPr>
              <w:t>future revisions of this standard may require adherence to 1451.7 as the physical interface. Recognizing that the current</w:t>
            </w:r>
          </w:p>
          <w:p w:rsidR="004F2102" w:rsidRPr="004F2102" w:rsidRDefault="004F2102" w:rsidP="004F2102">
            <w:pPr>
              <w:autoSpaceDE w:val="0"/>
              <w:autoSpaceDN w:val="0"/>
              <w:adjustRightInd w:val="0"/>
              <w:jc w:val="left"/>
              <w:rPr>
                <w:i/>
              </w:rPr>
            </w:pPr>
            <w:r w:rsidRPr="004F2102">
              <w:rPr>
                <w:rFonts w:cs="Arial"/>
                <w:i/>
                <w:sz w:val="18"/>
                <w:szCs w:val="18"/>
                <w:lang w:val="en-US"/>
              </w:rPr>
              <w:t>version of 1451.7 does not adequately address active tag technologies, active tag vendors are encouraged to actively</w:t>
            </w:r>
            <w:r>
              <w:rPr>
                <w:rFonts w:cs="Arial"/>
                <w:i/>
                <w:sz w:val="18"/>
                <w:szCs w:val="18"/>
                <w:lang w:val="en-US"/>
              </w:rPr>
              <w:t xml:space="preserve"> </w:t>
            </w:r>
            <w:r w:rsidRPr="004F2102">
              <w:rPr>
                <w:rFonts w:cs="Arial"/>
                <w:i/>
                <w:sz w:val="18"/>
                <w:szCs w:val="18"/>
                <w:lang w:val="en-US"/>
              </w:rPr>
              <w:t>participate in the revision of current 1451.7.</w:t>
            </w:r>
          </w:p>
          <w:p w:rsidR="007B5E16" w:rsidRDefault="007B5E16" w:rsidP="00AB480F">
            <w:pPr>
              <w:pStyle w:val="ISOComments"/>
              <w:spacing w:before="60" w:after="60" w:line="240" w:lineRule="auto"/>
            </w:pPr>
          </w:p>
          <w:p w:rsidR="004F2102" w:rsidRDefault="004F2102" w:rsidP="00AB480F">
            <w:pPr>
              <w:pStyle w:val="ISOComments"/>
              <w:spacing w:before="60" w:after="60" w:line="240" w:lineRule="auto"/>
            </w:pPr>
            <w:r>
              <w:t xml:space="preserve">The DASH7 community has now addressed this issue and will </w:t>
            </w:r>
            <w:r w:rsidR="00547C1E">
              <w:t xml:space="preserve">be </w:t>
            </w:r>
            <w:r>
              <w:t>coming forward with proposals that are aligned with this footnote.</w:t>
            </w:r>
          </w:p>
          <w:p w:rsidR="004F2102" w:rsidRDefault="004F2102" w:rsidP="00AB480F">
            <w:pPr>
              <w:pStyle w:val="ISOComments"/>
              <w:spacing w:before="60" w:after="60" w:line="240" w:lineRule="auto"/>
            </w:pPr>
          </w:p>
          <w:p w:rsidR="004F2102" w:rsidRDefault="004F2102" w:rsidP="004F2102">
            <w:pPr>
              <w:pStyle w:val="ISOComments"/>
              <w:spacing w:before="60" w:after="60" w:line="240" w:lineRule="auto"/>
            </w:pPr>
          </w:p>
        </w:tc>
        <w:tc>
          <w:tcPr>
            <w:tcW w:w="4253" w:type="dxa"/>
            <w:tcBorders>
              <w:top w:val="single" w:sz="6" w:space="0" w:color="auto"/>
              <w:left w:val="single" w:sz="6" w:space="0" w:color="auto"/>
              <w:bottom w:val="single" w:sz="6" w:space="0" w:color="auto"/>
              <w:right w:val="single" w:sz="6" w:space="0" w:color="auto"/>
            </w:tcBorders>
          </w:tcPr>
          <w:p w:rsidR="007B5E16" w:rsidRDefault="004F2102" w:rsidP="008D3FC7">
            <w:pPr>
              <w:pStyle w:val="Terms"/>
              <w:rPr>
                <w:b w:val="0"/>
              </w:rPr>
            </w:pPr>
            <w:r>
              <w:rPr>
                <w:b w:val="0"/>
              </w:rPr>
              <w:t>Remove Sensors as a justification for this NP</w:t>
            </w:r>
            <w:r w:rsidR="00E975A8">
              <w:rPr>
                <w:b w:val="0"/>
              </w:rPr>
              <w:t>.</w:t>
            </w:r>
          </w:p>
          <w:p w:rsidR="00292B29" w:rsidRPr="00292B29" w:rsidRDefault="00292B29" w:rsidP="00231F3A">
            <w:pPr>
              <w:pStyle w:val="Definition"/>
            </w:pPr>
          </w:p>
        </w:tc>
        <w:tc>
          <w:tcPr>
            <w:tcW w:w="2552" w:type="dxa"/>
            <w:tcBorders>
              <w:top w:val="single" w:sz="6" w:space="0" w:color="auto"/>
              <w:left w:val="single" w:sz="6" w:space="0" w:color="auto"/>
              <w:bottom w:val="single" w:sz="6" w:space="0" w:color="auto"/>
              <w:right w:val="single" w:sz="6" w:space="0" w:color="auto"/>
            </w:tcBorders>
          </w:tcPr>
          <w:p w:rsidR="007B5E16" w:rsidRPr="00EF6B64" w:rsidRDefault="007B5E16" w:rsidP="008D3FC7">
            <w:pPr>
              <w:pStyle w:val="ISOSecretObservations"/>
              <w:spacing w:before="60" w:after="60" w:line="240" w:lineRule="auto"/>
              <w:jc w:val="both"/>
              <w:rPr>
                <w:sz w:val="16"/>
                <w:szCs w:val="16"/>
              </w:rPr>
            </w:pPr>
          </w:p>
        </w:tc>
      </w:tr>
      <w:tr w:rsidR="004F2102">
        <w:trPr>
          <w:jc w:val="center"/>
        </w:trPr>
        <w:tc>
          <w:tcPr>
            <w:tcW w:w="567" w:type="dxa"/>
            <w:tcBorders>
              <w:top w:val="single" w:sz="6" w:space="0" w:color="auto"/>
              <w:left w:val="single" w:sz="6" w:space="0" w:color="auto"/>
              <w:bottom w:val="single" w:sz="6" w:space="0" w:color="auto"/>
              <w:right w:val="single" w:sz="6" w:space="0" w:color="auto"/>
            </w:tcBorders>
          </w:tcPr>
          <w:p w:rsidR="004F2102" w:rsidRDefault="00E975A8" w:rsidP="008D3FC7">
            <w:pPr>
              <w:pStyle w:val="ISOMB"/>
              <w:spacing w:before="60" w:after="60" w:line="240" w:lineRule="auto"/>
              <w:jc w:val="center"/>
            </w:pPr>
            <w:r>
              <w:t>S6</w:t>
            </w:r>
          </w:p>
        </w:tc>
        <w:tc>
          <w:tcPr>
            <w:tcW w:w="1361" w:type="dxa"/>
            <w:tcBorders>
              <w:top w:val="single" w:sz="6" w:space="0" w:color="auto"/>
              <w:left w:val="single" w:sz="6" w:space="0" w:color="auto"/>
              <w:bottom w:val="single" w:sz="6" w:space="0" w:color="auto"/>
              <w:right w:val="single" w:sz="6" w:space="0" w:color="auto"/>
            </w:tcBorders>
          </w:tcPr>
          <w:p w:rsidR="004F2102" w:rsidRDefault="004F2102" w:rsidP="008D3FC7">
            <w:pPr>
              <w:pStyle w:val="ISOClause"/>
              <w:spacing w:before="60" w:after="60" w:line="240" w:lineRule="auto"/>
              <w:jc w:val="center"/>
            </w:pPr>
            <w:r>
              <w:t>Purpose and justification</w:t>
            </w:r>
          </w:p>
        </w:tc>
        <w:tc>
          <w:tcPr>
            <w:tcW w:w="1247" w:type="dxa"/>
            <w:tcBorders>
              <w:top w:val="single" w:sz="6" w:space="0" w:color="auto"/>
              <w:left w:val="single" w:sz="6" w:space="0" w:color="auto"/>
              <w:bottom w:val="single" w:sz="6" w:space="0" w:color="auto"/>
              <w:right w:val="single" w:sz="6" w:space="0" w:color="auto"/>
            </w:tcBorders>
          </w:tcPr>
          <w:p w:rsidR="004F2102" w:rsidRDefault="004F2102" w:rsidP="008D3FC7">
            <w:pPr>
              <w:pStyle w:val="ISOParagraph"/>
              <w:spacing w:before="60" w:after="60" w:line="240" w:lineRule="auto"/>
              <w:jc w:val="center"/>
            </w:pPr>
          </w:p>
        </w:tc>
        <w:tc>
          <w:tcPr>
            <w:tcW w:w="709" w:type="dxa"/>
            <w:tcBorders>
              <w:top w:val="single" w:sz="6" w:space="0" w:color="auto"/>
              <w:left w:val="single" w:sz="6" w:space="0" w:color="auto"/>
              <w:bottom w:val="single" w:sz="6" w:space="0" w:color="auto"/>
              <w:right w:val="single" w:sz="6" w:space="0" w:color="auto"/>
            </w:tcBorders>
          </w:tcPr>
          <w:p w:rsidR="004F2102" w:rsidRDefault="004F2102" w:rsidP="008D3FC7">
            <w:pPr>
              <w:pStyle w:val="ISOCommType"/>
              <w:spacing w:before="60" w:after="60" w:line="240" w:lineRule="auto"/>
              <w:jc w:val="center"/>
            </w:pPr>
            <w:r>
              <w:t>Ge</w:t>
            </w:r>
          </w:p>
        </w:tc>
        <w:tc>
          <w:tcPr>
            <w:tcW w:w="4820" w:type="dxa"/>
            <w:tcBorders>
              <w:top w:val="single" w:sz="6" w:space="0" w:color="auto"/>
              <w:left w:val="single" w:sz="6" w:space="0" w:color="auto"/>
              <w:bottom w:val="single" w:sz="6" w:space="0" w:color="auto"/>
              <w:right w:val="single" w:sz="6" w:space="0" w:color="auto"/>
            </w:tcBorders>
          </w:tcPr>
          <w:p w:rsidR="004F2102" w:rsidRDefault="004F2102" w:rsidP="00292B29">
            <w:pPr>
              <w:jc w:val="left"/>
              <w:rPr>
                <w:sz w:val="18"/>
                <w:szCs w:val="18"/>
              </w:rPr>
            </w:pPr>
            <w:r>
              <w:rPr>
                <w:sz w:val="18"/>
                <w:szCs w:val="18"/>
              </w:rPr>
              <w:t xml:space="preserve">The </w:t>
            </w:r>
            <w:r w:rsidR="00292B29">
              <w:rPr>
                <w:sz w:val="18"/>
                <w:szCs w:val="18"/>
              </w:rPr>
              <w:t xml:space="preserve">fact that the information contained on the tag is </w:t>
            </w:r>
            <w:r w:rsidR="00231F3A">
              <w:rPr>
                <w:sz w:val="18"/>
                <w:szCs w:val="18"/>
              </w:rPr>
              <w:t xml:space="preserve">not </w:t>
            </w:r>
            <w:r w:rsidR="00292B29">
              <w:rPr>
                <w:sz w:val="18"/>
                <w:szCs w:val="18"/>
              </w:rPr>
              <w:t xml:space="preserve">the </w:t>
            </w:r>
            <w:r>
              <w:rPr>
                <w:sz w:val="18"/>
                <w:szCs w:val="18"/>
              </w:rPr>
              <w:t>carrier’</w:t>
            </w:r>
            <w:r w:rsidR="00292B29">
              <w:rPr>
                <w:sz w:val="18"/>
                <w:szCs w:val="18"/>
              </w:rPr>
              <w:t xml:space="preserve">s responsibility </w:t>
            </w:r>
            <w:r w:rsidR="00231F3A">
              <w:rPr>
                <w:sz w:val="18"/>
                <w:szCs w:val="18"/>
              </w:rPr>
              <w:t xml:space="preserve">should not be relevant to the adoption of 17363. The published standard, as written, allows for </w:t>
            </w:r>
            <w:r w:rsidR="00C109DC">
              <w:rPr>
                <w:sz w:val="18"/>
                <w:szCs w:val="18"/>
              </w:rPr>
              <w:t>this tag to be deployed with these known requirements from the shippers and consignees and at no additional cost to the carrier</w:t>
            </w:r>
            <w:r w:rsidR="00231F3A">
              <w:rPr>
                <w:sz w:val="18"/>
                <w:szCs w:val="18"/>
              </w:rPr>
              <w:t>.</w:t>
            </w:r>
          </w:p>
          <w:p w:rsidR="00292B29" w:rsidRDefault="00292B29" w:rsidP="00292B29">
            <w:pPr>
              <w:jc w:val="left"/>
              <w:rPr>
                <w:sz w:val="18"/>
                <w:szCs w:val="18"/>
              </w:rPr>
            </w:pPr>
          </w:p>
          <w:p w:rsidR="00292B29" w:rsidRDefault="00292B29" w:rsidP="00292B29">
            <w:pPr>
              <w:jc w:val="left"/>
              <w:rPr>
                <w:sz w:val="18"/>
                <w:szCs w:val="18"/>
              </w:rPr>
            </w:pPr>
          </w:p>
        </w:tc>
        <w:tc>
          <w:tcPr>
            <w:tcW w:w="4253" w:type="dxa"/>
            <w:tcBorders>
              <w:top w:val="single" w:sz="6" w:space="0" w:color="auto"/>
              <w:left w:val="single" w:sz="6" w:space="0" w:color="auto"/>
              <w:bottom w:val="single" w:sz="6" w:space="0" w:color="auto"/>
              <w:right w:val="single" w:sz="6" w:space="0" w:color="auto"/>
            </w:tcBorders>
          </w:tcPr>
          <w:p w:rsidR="004F2102" w:rsidRDefault="00231F3A" w:rsidP="008D3FC7">
            <w:pPr>
              <w:pStyle w:val="Terms"/>
              <w:rPr>
                <w:b w:val="0"/>
              </w:rPr>
            </w:pPr>
            <w:r>
              <w:rPr>
                <w:b w:val="0"/>
              </w:rPr>
              <w:t>Strike out the following sentence:</w:t>
            </w:r>
          </w:p>
          <w:p w:rsidR="00231F3A" w:rsidRPr="00231F3A" w:rsidRDefault="00231F3A" w:rsidP="00231F3A">
            <w:pPr>
              <w:pStyle w:val="Definition"/>
              <w:rPr>
                <w:i/>
              </w:rPr>
            </w:pPr>
            <w:r w:rsidRPr="00231F3A">
              <w:rPr>
                <w:rFonts w:ascii="Courier New" w:hAnsi="Courier New"/>
                <w:i/>
                <w:sz w:val="22"/>
              </w:rPr>
              <w:t>It also provides a clarification of focus, whereby the responsibility for the tag and the benefit of the tag inures to the benefit of the shipper and consignee of the content and is not the responsibility of the carrier</w:t>
            </w:r>
          </w:p>
        </w:tc>
        <w:tc>
          <w:tcPr>
            <w:tcW w:w="2552" w:type="dxa"/>
            <w:tcBorders>
              <w:top w:val="single" w:sz="6" w:space="0" w:color="auto"/>
              <w:left w:val="single" w:sz="6" w:space="0" w:color="auto"/>
              <w:bottom w:val="single" w:sz="6" w:space="0" w:color="auto"/>
              <w:right w:val="single" w:sz="6" w:space="0" w:color="auto"/>
            </w:tcBorders>
          </w:tcPr>
          <w:p w:rsidR="004F2102" w:rsidRPr="00EF6B64" w:rsidRDefault="004F2102" w:rsidP="008D3FC7">
            <w:pPr>
              <w:pStyle w:val="ISOSecretObservations"/>
              <w:spacing w:before="60" w:after="60" w:line="240" w:lineRule="auto"/>
              <w:jc w:val="both"/>
              <w:rPr>
                <w:sz w:val="16"/>
                <w:szCs w:val="16"/>
              </w:rPr>
            </w:pPr>
          </w:p>
        </w:tc>
      </w:tr>
      <w:tr w:rsidR="00231F3A">
        <w:trPr>
          <w:jc w:val="center"/>
        </w:trPr>
        <w:tc>
          <w:tcPr>
            <w:tcW w:w="567" w:type="dxa"/>
            <w:tcBorders>
              <w:top w:val="single" w:sz="6" w:space="0" w:color="auto"/>
              <w:left w:val="single" w:sz="6" w:space="0" w:color="auto"/>
              <w:bottom w:val="single" w:sz="6" w:space="0" w:color="auto"/>
              <w:right w:val="single" w:sz="6" w:space="0" w:color="auto"/>
            </w:tcBorders>
          </w:tcPr>
          <w:p w:rsidR="00231F3A" w:rsidRDefault="00E975A8" w:rsidP="008D3FC7">
            <w:pPr>
              <w:pStyle w:val="ISOMB"/>
              <w:spacing w:before="60" w:after="60" w:line="240" w:lineRule="auto"/>
              <w:jc w:val="center"/>
            </w:pPr>
            <w:r>
              <w:t>S7</w:t>
            </w:r>
          </w:p>
        </w:tc>
        <w:tc>
          <w:tcPr>
            <w:tcW w:w="1361" w:type="dxa"/>
            <w:tcBorders>
              <w:top w:val="single" w:sz="6" w:space="0" w:color="auto"/>
              <w:left w:val="single" w:sz="6" w:space="0" w:color="auto"/>
              <w:bottom w:val="single" w:sz="6" w:space="0" w:color="auto"/>
              <w:right w:val="single" w:sz="6" w:space="0" w:color="auto"/>
            </w:tcBorders>
          </w:tcPr>
          <w:p w:rsidR="00231F3A" w:rsidRDefault="00231F3A" w:rsidP="009C02A1">
            <w:pPr>
              <w:pStyle w:val="ISOClause"/>
              <w:spacing w:before="60" w:after="60" w:line="240" w:lineRule="auto"/>
              <w:jc w:val="center"/>
            </w:pPr>
            <w:r>
              <w:t>Purpose and justification</w:t>
            </w:r>
          </w:p>
        </w:tc>
        <w:tc>
          <w:tcPr>
            <w:tcW w:w="1247" w:type="dxa"/>
            <w:tcBorders>
              <w:top w:val="single" w:sz="6" w:space="0" w:color="auto"/>
              <w:left w:val="single" w:sz="6" w:space="0" w:color="auto"/>
              <w:bottom w:val="single" w:sz="6" w:space="0" w:color="auto"/>
              <w:right w:val="single" w:sz="6" w:space="0" w:color="auto"/>
            </w:tcBorders>
          </w:tcPr>
          <w:p w:rsidR="00231F3A" w:rsidRDefault="00231F3A" w:rsidP="008D3FC7">
            <w:pPr>
              <w:pStyle w:val="ISOParagraph"/>
              <w:spacing w:before="60" w:after="60" w:line="240" w:lineRule="auto"/>
              <w:jc w:val="center"/>
            </w:pPr>
          </w:p>
        </w:tc>
        <w:tc>
          <w:tcPr>
            <w:tcW w:w="709" w:type="dxa"/>
            <w:tcBorders>
              <w:top w:val="single" w:sz="6" w:space="0" w:color="auto"/>
              <w:left w:val="single" w:sz="6" w:space="0" w:color="auto"/>
              <w:bottom w:val="single" w:sz="6" w:space="0" w:color="auto"/>
              <w:right w:val="single" w:sz="6" w:space="0" w:color="auto"/>
            </w:tcBorders>
          </w:tcPr>
          <w:p w:rsidR="00231F3A" w:rsidRDefault="00231F3A" w:rsidP="008D3FC7">
            <w:pPr>
              <w:pStyle w:val="ISOCommType"/>
              <w:spacing w:before="60" w:after="60" w:line="240" w:lineRule="auto"/>
              <w:jc w:val="center"/>
            </w:pPr>
            <w:r>
              <w:t>Ge</w:t>
            </w:r>
          </w:p>
        </w:tc>
        <w:tc>
          <w:tcPr>
            <w:tcW w:w="4820" w:type="dxa"/>
            <w:tcBorders>
              <w:top w:val="single" w:sz="6" w:space="0" w:color="auto"/>
              <w:left w:val="single" w:sz="6" w:space="0" w:color="auto"/>
              <w:bottom w:val="single" w:sz="6" w:space="0" w:color="auto"/>
              <w:right w:val="single" w:sz="6" w:space="0" w:color="auto"/>
            </w:tcBorders>
          </w:tcPr>
          <w:p w:rsidR="00231F3A" w:rsidRDefault="00231F3A" w:rsidP="00C109DC">
            <w:pPr>
              <w:jc w:val="left"/>
              <w:rPr>
                <w:sz w:val="18"/>
                <w:szCs w:val="18"/>
              </w:rPr>
            </w:pPr>
            <w:r>
              <w:rPr>
                <w:sz w:val="18"/>
                <w:szCs w:val="18"/>
              </w:rPr>
              <w:t xml:space="preserve">While encoding </w:t>
            </w:r>
            <w:r w:rsidR="00C109DC">
              <w:rPr>
                <w:sz w:val="18"/>
                <w:szCs w:val="18"/>
              </w:rPr>
              <w:t xml:space="preserve">may </w:t>
            </w:r>
            <w:r>
              <w:rPr>
                <w:sz w:val="18"/>
                <w:szCs w:val="18"/>
              </w:rPr>
              <w:t xml:space="preserve">be discussed as part of this new work item, the decision to develop a new encoding scheme is not obvious and should therefore not be </w:t>
            </w:r>
            <w:r w:rsidR="00C109DC">
              <w:rPr>
                <w:sz w:val="18"/>
                <w:szCs w:val="18"/>
              </w:rPr>
              <w:t xml:space="preserve">stated as an objective for </w:t>
            </w:r>
            <w:r>
              <w:rPr>
                <w:sz w:val="18"/>
                <w:szCs w:val="18"/>
              </w:rPr>
              <w:t xml:space="preserve">the </w:t>
            </w:r>
            <w:r w:rsidR="00C109DC">
              <w:rPr>
                <w:sz w:val="18"/>
                <w:szCs w:val="18"/>
              </w:rPr>
              <w:t>work item</w:t>
            </w:r>
            <w:r>
              <w:rPr>
                <w:sz w:val="18"/>
                <w:szCs w:val="18"/>
              </w:rPr>
              <w:t>.</w:t>
            </w:r>
            <w:r w:rsidRPr="00CE2BFE">
              <w:rPr>
                <w:sz w:val="18"/>
                <w:szCs w:val="18"/>
              </w:rPr>
              <w:t xml:space="preserve"> </w:t>
            </w:r>
          </w:p>
          <w:p w:rsidR="00C109DC" w:rsidRDefault="00C109DC" w:rsidP="00C109DC">
            <w:pPr>
              <w:jc w:val="left"/>
              <w:rPr>
                <w:sz w:val="18"/>
                <w:szCs w:val="18"/>
              </w:rPr>
            </w:pPr>
          </w:p>
          <w:p w:rsidR="00C109DC" w:rsidRDefault="00C109DC" w:rsidP="00C109DC">
            <w:pPr>
              <w:jc w:val="left"/>
              <w:rPr>
                <w:sz w:val="18"/>
                <w:szCs w:val="18"/>
              </w:rPr>
            </w:pPr>
          </w:p>
          <w:p w:rsidR="00C109DC" w:rsidRDefault="00C109DC" w:rsidP="00C109DC">
            <w:pPr>
              <w:jc w:val="left"/>
              <w:rPr>
                <w:sz w:val="18"/>
                <w:szCs w:val="18"/>
              </w:rPr>
            </w:pPr>
          </w:p>
          <w:p w:rsidR="00C109DC" w:rsidRPr="00CE2BFE" w:rsidRDefault="00C109DC" w:rsidP="00C109DC">
            <w:pPr>
              <w:jc w:val="left"/>
              <w:rPr>
                <w:sz w:val="18"/>
                <w:szCs w:val="18"/>
              </w:rPr>
            </w:pPr>
          </w:p>
        </w:tc>
        <w:tc>
          <w:tcPr>
            <w:tcW w:w="4253" w:type="dxa"/>
            <w:tcBorders>
              <w:top w:val="single" w:sz="6" w:space="0" w:color="auto"/>
              <w:left w:val="single" w:sz="6" w:space="0" w:color="auto"/>
              <w:bottom w:val="single" w:sz="6" w:space="0" w:color="auto"/>
              <w:right w:val="single" w:sz="6" w:space="0" w:color="auto"/>
            </w:tcBorders>
          </w:tcPr>
          <w:p w:rsidR="00231F3A" w:rsidRDefault="00231F3A" w:rsidP="008D3FC7">
            <w:pPr>
              <w:pStyle w:val="Terms"/>
              <w:rPr>
                <w:b w:val="0"/>
              </w:rPr>
            </w:pPr>
            <w:r>
              <w:rPr>
                <w:b w:val="0"/>
              </w:rPr>
              <w:t>Replace:</w:t>
            </w:r>
          </w:p>
          <w:p w:rsidR="00231F3A" w:rsidRDefault="00231F3A" w:rsidP="00231F3A">
            <w:pPr>
              <w:pStyle w:val="Definition"/>
              <w:rPr>
                <w:rFonts w:ascii="Courier New" w:hAnsi="Courier New"/>
                <w:sz w:val="22"/>
              </w:rPr>
            </w:pPr>
            <w:r>
              <w:rPr>
                <w:rFonts w:ascii="Courier New" w:hAnsi="Courier New"/>
                <w:sz w:val="22"/>
              </w:rPr>
              <w:t>“there is a need to declare an encoding scheme”</w:t>
            </w:r>
          </w:p>
          <w:p w:rsidR="00231F3A" w:rsidRDefault="00231F3A" w:rsidP="00231F3A"/>
          <w:p w:rsidR="00231F3A" w:rsidRDefault="00231F3A" w:rsidP="00231F3A">
            <w:r>
              <w:t>By:</w:t>
            </w:r>
          </w:p>
          <w:p w:rsidR="00231F3A" w:rsidRDefault="00231F3A" w:rsidP="00231F3A"/>
          <w:p w:rsidR="00231F3A" w:rsidRPr="00231F3A" w:rsidRDefault="00231F3A" w:rsidP="00231F3A">
            <w:pPr>
              <w:rPr>
                <w:rFonts w:ascii="Courier New" w:hAnsi="Courier New"/>
              </w:rPr>
            </w:pPr>
            <w:r>
              <w:rPr>
                <w:rFonts w:ascii="Courier New" w:hAnsi="Courier New"/>
              </w:rPr>
              <w:t>“there is a need to discuss encoding scheme options. Backwards compatibility with existing infrastructure shall also be taken into account.”</w:t>
            </w:r>
          </w:p>
        </w:tc>
        <w:tc>
          <w:tcPr>
            <w:tcW w:w="2552" w:type="dxa"/>
            <w:tcBorders>
              <w:top w:val="single" w:sz="6" w:space="0" w:color="auto"/>
              <w:left w:val="single" w:sz="6" w:space="0" w:color="auto"/>
              <w:bottom w:val="single" w:sz="6" w:space="0" w:color="auto"/>
              <w:right w:val="single" w:sz="6" w:space="0" w:color="auto"/>
            </w:tcBorders>
          </w:tcPr>
          <w:p w:rsidR="00231F3A" w:rsidRPr="00EF6B64" w:rsidRDefault="00231F3A" w:rsidP="008D3FC7">
            <w:pPr>
              <w:pStyle w:val="ISOSecretObservations"/>
              <w:spacing w:before="60" w:after="60" w:line="240" w:lineRule="auto"/>
              <w:jc w:val="both"/>
              <w:rPr>
                <w:sz w:val="16"/>
                <w:szCs w:val="16"/>
              </w:rPr>
            </w:pPr>
          </w:p>
        </w:tc>
      </w:tr>
      <w:tr w:rsidR="00231F3A">
        <w:trPr>
          <w:jc w:val="center"/>
        </w:trPr>
        <w:tc>
          <w:tcPr>
            <w:tcW w:w="567" w:type="dxa"/>
            <w:tcBorders>
              <w:top w:val="single" w:sz="6" w:space="0" w:color="auto"/>
              <w:left w:val="single" w:sz="6" w:space="0" w:color="auto"/>
              <w:bottom w:val="single" w:sz="6" w:space="0" w:color="auto"/>
              <w:right w:val="single" w:sz="6" w:space="0" w:color="auto"/>
            </w:tcBorders>
          </w:tcPr>
          <w:p w:rsidR="00231F3A" w:rsidRDefault="00E975A8" w:rsidP="008D3FC7">
            <w:pPr>
              <w:pStyle w:val="ISOMB"/>
              <w:spacing w:before="60" w:after="60" w:line="240" w:lineRule="auto"/>
              <w:jc w:val="center"/>
            </w:pPr>
            <w:r>
              <w:t>S8</w:t>
            </w:r>
          </w:p>
        </w:tc>
        <w:tc>
          <w:tcPr>
            <w:tcW w:w="1361" w:type="dxa"/>
            <w:tcBorders>
              <w:top w:val="single" w:sz="6" w:space="0" w:color="auto"/>
              <w:left w:val="single" w:sz="6" w:space="0" w:color="auto"/>
              <w:bottom w:val="single" w:sz="6" w:space="0" w:color="auto"/>
              <w:right w:val="single" w:sz="6" w:space="0" w:color="auto"/>
            </w:tcBorders>
          </w:tcPr>
          <w:p w:rsidR="00231F3A" w:rsidRDefault="00231F3A" w:rsidP="008D3FC7">
            <w:pPr>
              <w:pStyle w:val="ISOClause"/>
              <w:spacing w:before="60" w:after="60" w:line="240" w:lineRule="auto"/>
              <w:jc w:val="center"/>
            </w:pPr>
          </w:p>
        </w:tc>
        <w:tc>
          <w:tcPr>
            <w:tcW w:w="1247" w:type="dxa"/>
            <w:tcBorders>
              <w:top w:val="single" w:sz="6" w:space="0" w:color="auto"/>
              <w:left w:val="single" w:sz="6" w:space="0" w:color="auto"/>
              <w:bottom w:val="single" w:sz="6" w:space="0" w:color="auto"/>
              <w:right w:val="single" w:sz="6" w:space="0" w:color="auto"/>
            </w:tcBorders>
          </w:tcPr>
          <w:p w:rsidR="00231F3A" w:rsidRDefault="00231F3A" w:rsidP="008D3FC7">
            <w:pPr>
              <w:pStyle w:val="ISOParagraph"/>
              <w:spacing w:before="60" w:after="60" w:line="240" w:lineRule="auto"/>
              <w:jc w:val="center"/>
            </w:pPr>
          </w:p>
        </w:tc>
        <w:tc>
          <w:tcPr>
            <w:tcW w:w="709" w:type="dxa"/>
            <w:tcBorders>
              <w:top w:val="single" w:sz="6" w:space="0" w:color="auto"/>
              <w:left w:val="single" w:sz="6" w:space="0" w:color="auto"/>
              <w:bottom w:val="single" w:sz="6" w:space="0" w:color="auto"/>
              <w:right w:val="single" w:sz="6" w:space="0" w:color="auto"/>
            </w:tcBorders>
          </w:tcPr>
          <w:p w:rsidR="00231F3A" w:rsidRDefault="00231F3A" w:rsidP="008D3FC7">
            <w:pPr>
              <w:pStyle w:val="ISOCommType"/>
              <w:spacing w:before="60" w:after="60" w:line="240" w:lineRule="auto"/>
              <w:jc w:val="center"/>
            </w:pPr>
          </w:p>
        </w:tc>
        <w:tc>
          <w:tcPr>
            <w:tcW w:w="4820" w:type="dxa"/>
            <w:tcBorders>
              <w:top w:val="single" w:sz="6" w:space="0" w:color="auto"/>
              <w:left w:val="single" w:sz="6" w:space="0" w:color="auto"/>
              <w:bottom w:val="single" w:sz="6" w:space="0" w:color="auto"/>
              <w:right w:val="single" w:sz="6" w:space="0" w:color="auto"/>
            </w:tcBorders>
          </w:tcPr>
          <w:p w:rsidR="00231F3A" w:rsidRDefault="00115DDA" w:rsidP="00AB480F">
            <w:pPr>
              <w:jc w:val="left"/>
              <w:rPr>
                <w:sz w:val="18"/>
                <w:szCs w:val="18"/>
              </w:rPr>
            </w:pPr>
            <w:r>
              <w:rPr>
                <w:sz w:val="18"/>
                <w:szCs w:val="18"/>
              </w:rPr>
              <w:t>TC104 has approved the development of ISO 18186 (cargo shipment tag) following a proposal from China to standardize what has been accomplished through the e-tag pilots led by SIPG.</w:t>
            </w:r>
          </w:p>
          <w:p w:rsidR="00115DDA" w:rsidRDefault="00115DDA" w:rsidP="00AB480F">
            <w:pPr>
              <w:jc w:val="left"/>
              <w:rPr>
                <w:sz w:val="18"/>
                <w:szCs w:val="18"/>
              </w:rPr>
            </w:pPr>
          </w:p>
          <w:p w:rsidR="00115DDA" w:rsidRDefault="00115DDA" w:rsidP="00AB480F">
            <w:pPr>
              <w:jc w:val="left"/>
              <w:rPr>
                <w:sz w:val="18"/>
                <w:szCs w:val="18"/>
              </w:rPr>
            </w:pPr>
            <w:r>
              <w:rPr>
                <w:sz w:val="18"/>
                <w:szCs w:val="18"/>
              </w:rPr>
              <w:t>To date, the TC104 committee is still debating the scope of the ISO 18186 standard. A meeting is scheduled onMarch 3</w:t>
            </w:r>
            <w:r w:rsidRPr="00115DDA">
              <w:rPr>
                <w:sz w:val="18"/>
                <w:szCs w:val="18"/>
                <w:vertAlign w:val="superscript"/>
              </w:rPr>
              <w:t>rd</w:t>
            </w:r>
            <w:r>
              <w:rPr>
                <w:sz w:val="18"/>
                <w:szCs w:val="18"/>
              </w:rPr>
              <w:t xml:space="preserve"> in Washington DC to further clarify the requirements for this standard.</w:t>
            </w:r>
          </w:p>
          <w:p w:rsidR="00231F3A" w:rsidRDefault="00231F3A" w:rsidP="00AB480F">
            <w:pPr>
              <w:jc w:val="left"/>
              <w:rPr>
                <w:sz w:val="18"/>
                <w:szCs w:val="18"/>
              </w:rPr>
            </w:pPr>
          </w:p>
          <w:p w:rsidR="00115DDA" w:rsidRDefault="00115DDA" w:rsidP="00AB480F">
            <w:pPr>
              <w:jc w:val="left"/>
              <w:rPr>
                <w:sz w:val="18"/>
                <w:szCs w:val="18"/>
              </w:rPr>
            </w:pPr>
            <w:r>
              <w:rPr>
                <w:sz w:val="18"/>
                <w:szCs w:val="18"/>
              </w:rPr>
              <w:t xml:space="preserve">Claiming that TC104 has embarked in a separate direction is simply not true. Minutes of the last TC104 meeting in Shanghai state the following (sc4wg2n289): </w:t>
            </w:r>
          </w:p>
          <w:p w:rsidR="00115DDA" w:rsidRDefault="00115DDA" w:rsidP="00AB480F">
            <w:pPr>
              <w:jc w:val="left"/>
              <w:rPr>
                <w:sz w:val="18"/>
                <w:szCs w:val="18"/>
              </w:rPr>
            </w:pPr>
            <w:r>
              <w:rPr>
                <w:sz w:val="18"/>
                <w:szCs w:val="18"/>
              </w:rPr>
              <w:t>(item 19)</w:t>
            </w:r>
          </w:p>
          <w:p w:rsidR="00115DDA" w:rsidRPr="00115DDA" w:rsidRDefault="00115DDA" w:rsidP="00115DDA">
            <w:pPr>
              <w:tabs>
                <w:tab w:val="left" w:pos="2581"/>
              </w:tabs>
              <w:overflowPunct w:val="0"/>
              <w:autoSpaceDE w:val="0"/>
              <w:autoSpaceDN w:val="0"/>
              <w:adjustRightInd w:val="0"/>
              <w:jc w:val="left"/>
              <w:textAlignment w:val="baseline"/>
              <w:rPr>
                <w:rFonts w:cs="Arial"/>
                <w:i/>
                <w:color w:val="FF0000"/>
                <w:sz w:val="20"/>
                <w:szCs w:val="20"/>
              </w:rPr>
            </w:pPr>
            <w:r w:rsidRPr="00115DDA">
              <w:rPr>
                <w:rFonts w:cs="Arial"/>
                <w:i/>
                <w:color w:val="FF0000"/>
                <w:sz w:val="20"/>
                <w:szCs w:val="20"/>
              </w:rPr>
              <w:t xml:space="preserve">The focus of ISO 18186 was deliberated.  After significant discussion, it emerged that the primary intent apparently was to specify application requirements.  In this context, the Workgroup strongly emphasized the need to examine the draft to ensure that the contents are consistent with the intended purpose.  It was felt that the standard should now be drafted in a device-independent, non-prescriptive manner.  Specific mention was made of the need to refer to ISO 17363 for the treatment of content.  Importantly, the Workgroup would have to consider changing the title of the standard to better reflect its intent.  </w:t>
            </w:r>
          </w:p>
          <w:p w:rsidR="00115DDA" w:rsidRDefault="00115DDA" w:rsidP="00AB480F">
            <w:pPr>
              <w:jc w:val="left"/>
              <w:rPr>
                <w:sz w:val="18"/>
                <w:szCs w:val="18"/>
              </w:rPr>
            </w:pPr>
          </w:p>
          <w:p w:rsidR="00115DDA" w:rsidRPr="00CE2BFE" w:rsidRDefault="00115DDA" w:rsidP="00AB480F">
            <w:pPr>
              <w:jc w:val="left"/>
              <w:rPr>
                <w:sz w:val="18"/>
                <w:szCs w:val="18"/>
              </w:rPr>
            </w:pPr>
          </w:p>
        </w:tc>
        <w:tc>
          <w:tcPr>
            <w:tcW w:w="4253" w:type="dxa"/>
            <w:tcBorders>
              <w:top w:val="single" w:sz="6" w:space="0" w:color="auto"/>
              <w:left w:val="single" w:sz="6" w:space="0" w:color="auto"/>
              <w:bottom w:val="single" w:sz="6" w:space="0" w:color="auto"/>
              <w:right w:val="single" w:sz="6" w:space="0" w:color="auto"/>
            </w:tcBorders>
          </w:tcPr>
          <w:p w:rsidR="00231F3A" w:rsidRPr="00CE2BFE" w:rsidRDefault="00115DDA" w:rsidP="008D3FC7">
            <w:pPr>
              <w:pStyle w:val="Terms"/>
              <w:rPr>
                <w:b w:val="0"/>
              </w:rPr>
            </w:pPr>
            <w:r>
              <w:rPr>
                <w:b w:val="0"/>
              </w:rPr>
              <w:t>Remove the comment regarding TC104’s decision “to embark on its own standard”.</w:t>
            </w:r>
          </w:p>
        </w:tc>
        <w:tc>
          <w:tcPr>
            <w:tcW w:w="2552" w:type="dxa"/>
            <w:tcBorders>
              <w:top w:val="single" w:sz="6" w:space="0" w:color="auto"/>
              <w:left w:val="single" w:sz="6" w:space="0" w:color="auto"/>
              <w:bottom w:val="single" w:sz="6" w:space="0" w:color="auto"/>
              <w:right w:val="single" w:sz="6" w:space="0" w:color="auto"/>
            </w:tcBorders>
          </w:tcPr>
          <w:p w:rsidR="00231F3A" w:rsidRDefault="00231F3A" w:rsidP="008D3FC7">
            <w:pPr>
              <w:pStyle w:val="ISOSecretObservations"/>
              <w:spacing w:before="60" w:after="60" w:line="240" w:lineRule="auto"/>
              <w:jc w:val="both"/>
            </w:pPr>
          </w:p>
        </w:tc>
      </w:tr>
      <w:tr w:rsidR="00231F3A">
        <w:trPr>
          <w:jc w:val="center"/>
        </w:trPr>
        <w:tc>
          <w:tcPr>
            <w:tcW w:w="567" w:type="dxa"/>
            <w:tcBorders>
              <w:top w:val="single" w:sz="6" w:space="0" w:color="auto"/>
              <w:left w:val="single" w:sz="6" w:space="0" w:color="auto"/>
              <w:bottom w:val="single" w:sz="6" w:space="0" w:color="auto"/>
              <w:right w:val="single" w:sz="6" w:space="0" w:color="auto"/>
            </w:tcBorders>
          </w:tcPr>
          <w:p w:rsidR="00231F3A" w:rsidRDefault="00E975A8" w:rsidP="008D3FC7">
            <w:pPr>
              <w:pStyle w:val="ISOMB"/>
              <w:spacing w:before="60" w:after="60" w:line="240" w:lineRule="auto"/>
              <w:jc w:val="center"/>
            </w:pPr>
            <w:r>
              <w:t>S9</w:t>
            </w:r>
          </w:p>
        </w:tc>
        <w:tc>
          <w:tcPr>
            <w:tcW w:w="1361" w:type="dxa"/>
            <w:tcBorders>
              <w:top w:val="single" w:sz="6" w:space="0" w:color="auto"/>
              <w:left w:val="single" w:sz="6" w:space="0" w:color="auto"/>
              <w:bottom w:val="single" w:sz="6" w:space="0" w:color="auto"/>
              <w:right w:val="single" w:sz="6" w:space="0" w:color="auto"/>
            </w:tcBorders>
          </w:tcPr>
          <w:p w:rsidR="00231F3A" w:rsidRDefault="00ED5C1C" w:rsidP="008D3FC7">
            <w:pPr>
              <w:pStyle w:val="ISOClause"/>
              <w:spacing w:before="60" w:after="60" w:line="240" w:lineRule="auto"/>
              <w:jc w:val="center"/>
            </w:pPr>
            <w:r>
              <w:t>Relevant documents to be considered.</w:t>
            </w:r>
          </w:p>
        </w:tc>
        <w:tc>
          <w:tcPr>
            <w:tcW w:w="1247" w:type="dxa"/>
            <w:tcBorders>
              <w:top w:val="single" w:sz="6" w:space="0" w:color="auto"/>
              <w:left w:val="single" w:sz="6" w:space="0" w:color="auto"/>
              <w:bottom w:val="single" w:sz="6" w:space="0" w:color="auto"/>
              <w:right w:val="single" w:sz="6" w:space="0" w:color="auto"/>
            </w:tcBorders>
          </w:tcPr>
          <w:p w:rsidR="00231F3A" w:rsidRDefault="00231F3A" w:rsidP="008D3FC7">
            <w:pPr>
              <w:pStyle w:val="ISOParagraph"/>
              <w:spacing w:before="60" w:after="60" w:line="240" w:lineRule="auto"/>
              <w:jc w:val="center"/>
            </w:pPr>
          </w:p>
        </w:tc>
        <w:tc>
          <w:tcPr>
            <w:tcW w:w="709" w:type="dxa"/>
            <w:tcBorders>
              <w:top w:val="single" w:sz="6" w:space="0" w:color="auto"/>
              <w:left w:val="single" w:sz="6" w:space="0" w:color="auto"/>
              <w:bottom w:val="single" w:sz="6" w:space="0" w:color="auto"/>
              <w:right w:val="single" w:sz="6" w:space="0" w:color="auto"/>
            </w:tcBorders>
          </w:tcPr>
          <w:p w:rsidR="00231F3A" w:rsidRDefault="00ED5C1C" w:rsidP="008D3FC7">
            <w:pPr>
              <w:pStyle w:val="ISOCommType"/>
              <w:spacing w:before="60" w:after="60" w:line="240" w:lineRule="auto"/>
              <w:jc w:val="center"/>
            </w:pPr>
            <w:r>
              <w:t>Ge</w:t>
            </w:r>
          </w:p>
        </w:tc>
        <w:tc>
          <w:tcPr>
            <w:tcW w:w="4820" w:type="dxa"/>
            <w:tcBorders>
              <w:top w:val="single" w:sz="6" w:space="0" w:color="auto"/>
              <w:left w:val="single" w:sz="6" w:space="0" w:color="auto"/>
              <w:bottom w:val="single" w:sz="6" w:space="0" w:color="auto"/>
              <w:right w:val="single" w:sz="6" w:space="0" w:color="auto"/>
            </w:tcBorders>
          </w:tcPr>
          <w:p w:rsidR="00231F3A" w:rsidRPr="007902E2" w:rsidRDefault="00231F3A" w:rsidP="008D3FC7">
            <w:pPr>
              <w:jc w:val="left"/>
              <w:rPr>
                <w:color w:val="000000"/>
              </w:rPr>
            </w:pPr>
            <w:r>
              <w:rPr>
                <w:color w:val="000000"/>
              </w:rPr>
              <w:t>Add 18000-7 as a relevant document to be considered</w:t>
            </w:r>
          </w:p>
        </w:tc>
        <w:tc>
          <w:tcPr>
            <w:tcW w:w="4253" w:type="dxa"/>
            <w:tcBorders>
              <w:top w:val="single" w:sz="6" w:space="0" w:color="auto"/>
              <w:left w:val="single" w:sz="6" w:space="0" w:color="auto"/>
              <w:bottom w:val="single" w:sz="6" w:space="0" w:color="auto"/>
              <w:right w:val="single" w:sz="6" w:space="0" w:color="auto"/>
            </w:tcBorders>
          </w:tcPr>
          <w:p w:rsidR="00231F3A" w:rsidRDefault="00231F3A" w:rsidP="008D3FC7">
            <w:pPr>
              <w:pStyle w:val="ISOChange"/>
              <w:spacing w:before="60" w:after="60" w:line="240" w:lineRule="auto"/>
              <w:jc w:val="both"/>
            </w:pPr>
          </w:p>
        </w:tc>
        <w:tc>
          <w:tcPr>
            <w:tcW w:w="2552" w:type="dxa"/>
            <w:tcBorders>
              <w:top w:val="single" w:sz="6" w:space="0" w:color="auto"/>
              <w:left w:val="single" w:sz="6" w:space="0" w:color="auto"/>
              <w:bottom w:val="single" w:sz="6" w:space="0" w:color="auto"/>
              <w:right w:val="single" w:sz="6" w:space="0" w:color="auto"/>
            </w:tcBorders>
          </w:tcPr>
          <w:p w:rsidR="00231F3A" w:rsidRDefault="00231F3A" w:rsidP="008D3FC7">
            <w:pPr>
              <w:pStyle w:val="ISOSecretObservations"/>
              <w:spacing w:before="60" w:after="60" w:line="240" w:lineRule="auto"/>
              <w:jc w:val="both"/>
            </w:pPr>
          </w:p>
        </w:tc>
      </w:tr>
    </w:tbl>
    <w:p w:rsidR="008D3FC7" w:rsidRDefault="008D3FC7">
      <w:pPr>
        <w:spacing w:line="240" w:lineRule="exact"/>
      </w:pPr>
    </w:p>
    <w:sectPr w:rsidR="008D3FC7" w:rsidSect="00090305">
      <w:headerReference w:type="even" r:id="rId7"/>
      <w:headerReference w:type="default" r:id="rId8"/>
      <w:footerReference w:type="even" r:id="rId9"/>
      <w:footerReference w:type="default" r:id="rId10"/>
      <w:headerReference w:type="first" r:id="rId11"/>
      <w:footerReference w:type="first" r:id="rId12"/>
      <w:type w:val="continuous"/>
      <w:pgSz w:w="16840" w:h="11907" w:orient="landscape" w:code="9"/>
      <w:pgMar w:top="851" w:right="851" w:bottom="851" w:left="851" w:header="567" w:footer="567" w:gutter="0"/>
      <w:pgNumType w:start="1"/>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2B8" w:rsidRDefault="007E62B8">
      <w:r>
        <w:separator/>
      </w:r>
    </w:p>
  </w:endnote>
  <w:endnote w:type="continuationSeparator" w:id="0">
    <w:p w:rsidR="007E62B8" w:rsidRDefault="007E62B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C0F" w:rsidRDefault="00B60C0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FC7" w:rsidRDefault="008D3FC7">
    <w:pPr>
      <w:pStyle w:val="Footer"/>
      <w:tabs>
        <w:tab w:val="clear" w:pos="4820"/>
        <w:tab w:val="clear" w:pos="9639"/>
        <w:tab w:val="left" w:pos="284"/>
        <w:tab w:val="left" w:pos="3969"/>
      </w:tabs>
      <w:spacing w:before="20" w:after="20"/>
      <w:jc w:val="left"/>
      <w:rPr>
        <w:rStyle w:val="PageNumber"/>
        <w:sz w:val="16"/>
        <w:szCs w:val="16"/>
      </w:rPr>
    </w:pPr>
    <w:r>
      <w:rPr>
        <w:rStyle w:val="PageNumber"/>
        <w:sz w:val="16"/>
        <w:szCs w:val="16"/>
      </w:rPr>
      <w:t>1</w:t>
    </w:r>
    <w:r>
      <w:rPr>
        <w:rStyle w:val="PageNumber"/>
        <w:sz w:val="16"/>
        <w:szCs w:val="16"/>
      </w:rPr>
      <w:tab/>
    </w:r>
    <w:r>
      <w:rPr>
        <w:rStyle w:val="PageNumber"/>
        <w:b/>
        <w:sz w:val="16"/>
        <w:szCs w:val="16"/>
      </w:rPr>
      <w:t>MB</w:t>
    </w:r>
    <w:r>
      <w:rPr>
        <w:rStyle w:val="PageNumber"/>
        <w:sz w:val="16"/>
        <w:szCs w:val="16"/>
      </w:rPr>
      <w:t xml:space="preserve"> = Member body (enter the ISO 3166 two-letter country code, e.g. CN for China; comments from the ISO/CS editing unit are identified by </w:t>
    </w:r>
    <w:r>
      <w:rPr>
        <w:rStyle w:val="PageNumber"/>
        <w:b/>
        <w:sz w:val="16"/>
        <w:szCs w:val="16"/>
      </w:rPr>
      <w:t>**</w:t>
    </w:r>
    <w:r>
      <w:rPr>
        <w:rStyle w:val="PageNumber"/>
        <w:sz w:val="16"/>
        <w:szCs w:val="16"/>
      </w:rPr>
      <w:t>)</w:t>
    </w:r>
  </w:p>
  <w:p w:rsidR="008D3FC7" w:rsidRDefault="008D3FC7">
    <w:pPr>
      <w:pStyle w:val="Footer"/>
      <w:tabs>
        <w:tab w:val="clear" w:pos="4820"/>
        <w:tab w:val="clear" w:pos="9639"/>
        <w:tab w:val="left" w:pos="284"/>
        <w:tab w:val="left" w:pos="1843"/>
        <w:tab w:val="left" w:pos="2268"/>
        <w:tab w:val="left" w:pos="3119"/>
        <w:tab w:val="left" w:pos="4395"/>
      </w:tabs>
      <w:spacing w:before="20" w:after="20"/>
      <w:jc w:val="left"/>
      <w:rPr>
        <w:rStyle w:val="PageNumber"/>
        <w:sz w:val="16"/>
        <w:szCs w:val="16"/>
      </w:rPr>
    </w:pPr>
    <w:r>
      <w:rPr>
        <w:rStyle w:val="PageNumber"/>
        <w:sz w:val="16"/>
        <w:szCs w:val="16"/>
      </w:rPr>
      <w:t>2</w:t>
    </w:r>
    <w:r>
      <w:rPr>
        <w:rStyle w:val="PageNumber"/>
        <w:b/>
        <w:sz w:val="16"/>
        <w:szCs w:val="16"/>
      </w:rPr>
      <w:tab/>
      <w:t>Type of comment:</w:t>
    </w:r>
    <w:r>
      <w:rPr>
        <w:rStyle w:val="PageNumber"/>
        <w:sz w:val="16"/>
        <w:szCs w:val="16"/>
      </w:rPr>
      <w:tab/>
    </w:r>
    <w:r>
      <w:rPr>
        <w:rStyle w:val="PageNumber"/>
        <w:b/>
        <w:sz w:val="16"/>
        <w:szCs w:val="16"/>
      </w:rPr>
      <w:t>ge</w:t>
    </w:r>
    <w:r>
      <w:rPr>
        <w:rStyle w:val="PageNumber"/>
        <w:sz w:val="16"/>
        <w:szCs w:val="16"/>
      </w:rPr>
      <w:t xml:space="preserve"> = general</w:t>
    </w:r>
    <w:r>
      <w:rPr>
        <w:rStyle w:val="PageNumber"/>
        <w:sz w:val="16"/>
        <w:szCs w:val="16"/>
      </w:rPr>
      <w:tab/>
    </w:r>
    <w:r>
      <w:rPr>
        <w:rStyle w:val="PageNumber"/>
        <w:b/>
        <w:sz w:val="16"/>
        <w:szCs w:val="16"/>
      </w:rPr>
      <w:t>te</w:t>
    </w:r>
    <w:r>
      <w:rPr>
        <w:rStyle w:val="PageNumber"/>
        <w:sz w:val="16"/>
        <w:szCs w:val="16"/>
      </w:rPr>
      <w:t xml:space="preserve"> = technical </w:t>
    </w:r>
    <w:r>
      <w:rPr>
        <w:rStyle w:val="PageNumber"/>
        <w:sz w:val="16"/>
        <w:szCs w:val="16"/>
      </w:rPr>
      <w:tab/>
    </w:r>
    <w:r>
      <w:rPr>
        <w:rStyle w:val="PageNumber"/>
        <w:b/>
        <w:sz w:val="16"/>
        <w:szCs w:val="16"/>
      </w:rPr>
      <w:t>ed</w:t>
    </w:r>
    <w:r>
      <w:rPr>
        <w:rStyle w:val="PageNumber"/>
        <w:sz w:val="16"/>
        <w:szCs w:val="16"/>
      </w:rPr>
      <w:t xml:space="preserve"> = editorial </w:t>
    </w:r>
  </w:p>
  <w:p w:rsidR="008D3FC7" w:rsidRDefault="008D3FC7">
    <w:pPr>
      <w:pStyle w:val="Footer"/>
      <w:tabs>
        <w:tab w:val="clear" w:pos="4820"/>
        <w:tab w:val="clear" w:pos="9639"/>
        <w:tab w:val="left" w:pos="426"/>
      </w:tabs>
      <w:spacing w:before="20" w:after="20"/>
      <w:jc w:val="left"/>
      <w:rPr>
        <w:rStyle w:val="PageNumber"/>
        <w:sz w:val="16"/>
        <w:szCs w:val="16"/>
      </w:rPr>
    </w:pPr>
    <w:r>
      <w:rPr>
        <w:rStyle w:val="PageNumber"/>
        <w:b/>
        <w:sz w:val="16"/>
        <w:szCs w:val="16"/>
      </w:rPr>
      <w:t>NOTE</w:t>
    </w:r>
    <w:r>
      <w:rPr>
        <w:rStyle w:val="PageNumber"/>
        <w:sz w:val="16"/>
        <w:szCs w:val="16"/>
      </w:rPr>
      <w:tab/>
      <w:t>Columns 1, 2, 4, 5 are compulsory.</w:t>
    </w:r>
  </w:p>
  <w:p w:rsidR="008D3FC7" w:rsidRDefault="008D3FC7">
    <w:pPr>
      <w:pStyle w:val="Footer"/>
      <w:tabs>
        <w:tab w:val="clear" w:pos="4820"/>
        <w:tab w:val="clear" w:pos="9639"/>
      </w:tabs>
      <w:jc w:val="right"/>
      <w:rPr>
        <w:rStyle w:val="PageNumber"/>
        <w:sz w:val="16"/>
        <w:szCs w:val="16"/>
      </w:rPr>
    </w:pPr>
    <w:r>
      <w:rPr>
        <w:rStyle w:val="PageNumber"/>
        <w:sz w:val="16"/>
        <w:szCs w:val="16"/>
        <w:lang w:val="en-US"/>
      </w:rPr>
      <w:t xml:space="preserve">page </w:t>
    </w:r>
    <w:r w:rsidR="00090305">
      <w:rPr>
        <w:rStyle w:val="PageNumber"/>
        <w:sz w:val="16"/>
        <w:szCs w:val="16"/>
        <w:lang w:val="en-US"/>
      </w:rPr>
      <w:fldChar w:fldCharType="begin"/>
    </w:r>
    <w:r>
      <w:rPr>
        <w:rStyle w:val="PageNumber"/>
        <w:sz w:val="16"/>
        <w:szCs w:val="16"/>
        <w:lang w:val="en-US"/>
      </w:rPr>
      <w:instrText xml:space="preserve"> PAGE </w:instrText>
    </w:r>
    <w:r w:rsidR="00090305">
      <w:rPr>
        <w:rStyle w:val="PageNumber"/>
        <w:sz w:val="16"/>
        <w:szCs w:val="16"/>
        <w:lang w:val="en-US"/>
      </w:rPr>
      <w:fldChar w:fldCharType="separate"/>
    </w:r>
    <w:r w:rsidR="007E62B8">
      <w:rPr>
        <w:rStyle w:val="PageNumber"/>
        <w:noProof/>
        <w:sz w:val="16"/>
        <w:szCs w:val="16"/>
        <w:lang w:val="en-US"/>
      </w:rPr>
      <w:t>1</w:t>
    </w:r>
    <w:r w:rsidR="00090305">
      <w:rPr>
        <w:rStyle w:val="PageNumber"/>
        <w:sz w:val="16"/>
        <w:szCs w:val="16"/>
        <w:lang w:val="en-US"/>
      </w:rPr>
      <w:fldChar w:fldCharType="end"/>
    </w:r>
    <w:r>
      <w:rPr>
        <w:rStyle w:val="PageNumber"/>
        <w:sz w:val="16"/>
        <w:szCs w:val="16"/>
        <w:lang w:val="en-US"/>
      </w:rPr>
      <w:t xml:space="preserve"> of </w:t>
    </w:r>
    <w:r w:rsidR="00090305">
      <w:rPr>
        <w:rStyle w:val="PageNumber"/>
        <w:sz w:val="16"/>
        <w:szCs w:val="16"/>
        <w:lang w:val="en-US"/>
      </w:rPr>
      <w:fldChar w:fldCharType="begin"/>
    </w:r>
    <w:r>
      <w:rPr>
        <w:rStyle w:val="PageNumber"/>
        <w:sz w:val="16"/>
        <w:szCs w:val="16"/>
        <w:lang w:val="en-US"/>
      </w:rPr>
      <w:instrText xml:space="preserve"> NUMPAGES </w:instrText>
    </w:r>
    <w:r w:rsidR="00090305">
      <w:rPr>
        <w:rStyle w:val="PageNumber"/>
        <w:sz w:val="16"/>
        <w:szCs w:val="16"/>
        <w:lang w:val="en-US"/>
      </w:rPr>
      <w:fldChar w:fldCharType="separate"/>
    </w:r>
    <w:r w:rsidR="007E62B8">
      <w:rPr>
        <w:rStyle w:val="PageNumber"/>
        <w:noProof/>
        <w:sz w:val="16"/>
        <w:szCs w:val="16"/>
        <w:lang w:val="en-US"/>
      </w:rPr>
      <w:t>1</w:t>
    </w:r>
    <w:r w:rsidR="00090305">
      <w:rPr>
        <w:rStyle w:val="PageNumber"/>
        <w:sz w:val="16"/>
        <w:szCs w:val="16"/>
        <w:lang w:val="en-US"/>
      </w:rPr>
      <w:fldChar w:fldCharType="end"/>
    </w:r>
  </w:p>
  <w:p w:rsidR="008D3FC7" w:rsidRDefault="008D3FC7">
    <w:pPr>
      <w:pStyle w:val="Footer"/>
      <w:jc w:val="left"/>
      <w:rPr>
        <w:rStyle w:val="PageNumber"/>
        <w:i/>
        <w:sz w:val="16"/>
        <w:szCs w:val="16"/>
      </w:rPr>
    </w:pPr>
    <w:r>
      <w:rPr>
        <w:rStyle w:val="PageNumber"/>
        <w:i/>
        <w:sz w:val="16"/>
        <w:szCs w:val="16"/>
      </w:rPr>
      <w:t>ISO electronic balloting commenting template/version 2001-10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C0F" w:rsidRDefault="00B60C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2B8" w:rsidRDefault="007E62B8">
      <w:r>
        <w:separator/>
      </w:r>
    </w:p>
  </w:footnote>
  <w:footnote w:type="continuationSeparator" w:id="0">
    <w:p w:rsidR="007E62B8" w:rsidRDefault="007E62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C0F" w:rsidRDefault="00B60C0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550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tblPr>
    <w:tblGrid>
      <w:gridCol w:w="8688"/>
      <w:gridCol w:w="2294"/>
      <w:gridCol w:w="4521"/>
    </w:tblGrid>
    <w:tr w:rsidR="008D3FC7">
      <w:trPr>
        <w:cantSplit/>
        <w:jc w:val="center"/>
      </w:trPr>
      <w:tc>
        <w:tcPr>
          <w:tcW w:w="8688" w:type="dxa"/>
          <w:tcBorders>
            <w:top w:val="none" w:sz="6" w:space="0" w:color="auto"/>
            <w:left w:val="none" w:sz="6" w:space="0" w:color="auto"/>
            <w:bottom w:val="none" w:sz="6" w:space="0" w:color="auto"/>
            <w:right w:val="none" w:sz="6" w:space="0" w:color="auto"/>
          </w:tcBorders>
        </w:tcPr>
        <w:p w:rsidR="008D3FC7" w:rsidRDefault="008D3FC7">
          <w:pPr>
            <w:pStyle w:val="ISOComments"/>
            <w:spacing w:before="60" w:after="60"/>
          </w:pPr>
          <w:r>
            <w:rPr>
              <w:rStyle w:val="MTEquationSection"/>
              <w:b/>
              <w:color w:val="auto"/>
              <w:sz w:val="22"/>
              <w:szCs w:val="22"/>
            </w:rPr>
            <w:t>Template for comments and secretariat observations</w:t>
          </w:r>
        </w:p>
      </w:tc>
      <w:tc>
        <w:tcPr>
          <w:tcW w:w="2294" w:type="dxa"/>
          <w:tcBorders>
            <w:top w:val="single" w:sz="6" w:space="0" w:color="auto"/>
            <w:left w:val="single" w:sz="6" w:space="0" w:color="auto"/>
            <w:bottom w:val="single" w:sz="6" w:space="0" w:color="auto"/>
            <w:right w:val="single" w:sz="6" w:space="0" w:color="auto"/>
          </w:tcBorders>
        </w:tcPr>
        <w:p w:rsidR="00B60C0F" w:rsidRDefault="008D3FC7">
          <w:pPr>
            <w:pStyle w:val="ISOChange"/>
            <w:spacing w:before="60" w:after="60"/>
          </w:pPr>
          <w:r>
            <w:t>Date: 02/18/2010</w:t>
          </w:r>
        </w:p>
        <w:p w:rsidR="00B60C0F" w:rsidRDefault="00B60C0F" w:rsidP="00B60C0F"/>
        <w:p w:rsidR="00B60C0F" w:rsidRDefault="00B60C0F" w:rsidP="00B60C0F">
          <w:r>
            <w:t xml:space="preserve">Prepared by </w:t>
          </w:r>
        </w:p>
        <w:p w:rsidR="008D3FC7" w:rsidRDefault="00B60C0F" w:rsidP="00B60C0F">
          <w:r>
            <w:t>Ryad Semichi</w:t>
          </w:r>
        </w:p>
        <w:p w:rsidR="00B60C0F" w:rsidRPr="00B60C0F" w:rsidRDefault="00B60C0F" w:rsidP="00B60C0F">
          <w:r>
            <w:t>Savi Technology</w:t>
          </w:r>
        </w:p>
      </w:tc>
      <w:tc>
        <w:tcPr>
          <w:tcW w:w="4521" w:type="dxa"/>
          <w:tcBorders>
            <w:top w:val="single" w:sz="6" w:space="0" w:color="auto"/>
            <w:left w:val="single" w:sz="6" w:space="0" w:color="auto"/>
            <w:bottom w:val="single" w:sz="6" w:space="0" w:color="auto"/>
            <w:right w:val="single" w:sz="6" w:space="0" w:color="auto"/>
          </w:tcBorders>
        </w:tcPr>
        <w:p w:rsidR="008D3FC7" w:rsidRDefault="008D3FC7">
          <w:pPr>
            <w:pStyle w:val="ISOSecretObservations"/>
            <w:spacing w:before="60" w:after="60"/>
            <w:rPr>
              <w:b/>
              <w:sz w:val="20"/>
              <w:szCs w:val="20"/>
            </w:rPr>
          </w:pPr>
          <w:r>
            <w:t>Document:</w:t>
          </w:r>
          <w:r>
            <w:rPr>
              <w:b/>
              <w:sz w:val="20"/>
              <w:szCs w:val="20"/>
            </w:rPr>
            <w:t xml:space="preserve"> New Work Item Proposal</w:t>
          </w:r>
        </w:p>
        <w:p w:rsidR="008D3FC7" w:rsidRDefault="008D3FC7">
          <w:pPr>
            <w:pStyle w:val="ISOSecretObservations"/>
            <w:spacing w:before="60" w:after="60"/>
            <w:rPr>
              <w:b/>
              <w:sz w:val="20"/>
              <w:szCs w:val="20"/>
            </w:rPr>
          </w:pPr>
          <w:r>
            <w:rPr>
              <w:b/>
              <w:sz w:val="20"/>
              <w:szCs w:val="20"/>
            </w:rPr>
            <w:t>ISO/TC122 WG10</w:t>
          </w:r>
        </w:p>
        <w:p w:rsidR="008D3FC7" w:rsidRDefault="008D3FC7">
          <w:pPr>
            <w:pStyle w:val="ISOSecretObservations"/>
            <w:spacing w:before="60" w:after="60"/>
            <w:rPr>
              <w:sz w:val="20"/>
              <w:szCs w:val="20"/>
            </w:rPr>
          </w:pPr>
          <w:r>
            <w:rPr>
              <w:b/>
              <w:sz w:val="20"/>
              <w:szCs w:val="20"/>
            </w:rPr>
            <w:t>ISO 17363: supply chain applications of RFID- Freight Containers</w:t>
          </w:r>
        </w:p>
      </w:tc>
    </w:tr>
  </w:tbl>
  <w:p w:rsidR="008D3FC7" w:rsidRDefault="008D3FC7">
    <w:pPr>
      <w:pStyle w:val="Heade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tblPr>
    <w:tblGrid>
      <w:gridCol w:w="567"/>
      <w:gridCol w:w="1361"/>
      <w:gridCol w:w="1247"/>
      <w:gridCol w:w="709"/>
      <w:gridCol w:w="4820"/>
      <w:gridCol w:w="4253"/>
      <w:gridCol w:w="2552"/>
    </w:tblGrid>
    <w:tr w:rsidR="008D3FC7">
      <w:trPr>
        <w:cantSplit/>
        <w:jc w:val="center"/>
      </w:trPr>
      <w:tc>
        <w:tcPr>
          <w:tcW w:w="567" w:type="dxa"/>
          <w:tcBorders>
            <w:top w:val="single" w:sz="6" w:space="0" w:color="auto"/>
            <w:left w:val="single" w:sz="6" w:space="0" w:color="auto"/>
            <w:bottom w:val="single" w:sz="6" w:space="0" w:color="auto"/>
            <w:right w:val="single" w:sz="6" w:space="0" w:color="auto"/>
          </w:tcBorders>
        </w:tcPr>
        <w:p w:rsidR="008D3FC7" w:rsidRDefault="008D3FC7">
          <w:pPr>
            <w:keepLines/>
            <w:spacing w:before="40" w:after="40" w:line="180" w:lineRule="exact"/>
            <w:jc w:val="center"/>
            <w:rPr>
              <w:sz w:val="16"/>
              <w:szCs w:val="16"/>
            </w:rPr>
          </w:pPr>
          <w:r>
            <w:rPr>
              <w:sz w:val="16"/>
              <w:szCs w:val="16"/>
            </w:rPr>
            <w:t>1</w:t>
          </w:r>
        </w:p>
      </w:tc>
      <w:tc>
        <w:tcPr>
          <w:tcW w:w="1361" w:type="dxa"/>
          <w:tcBorders>
            <w:top w:val="single" w:sz="6" w:space="0" w:color="auto"/>
            <w:left w:val="single" w:sz="6" w:space="0" w:color="auto"/>
            <w:bottom w:val="single" w:sz="6" w:space="0" w:color="auto"/>
            <w:right w:val="single" w:sz="6" w:space="0" w:color="auto"/>
          </w:tcBorders>
        </w:tcPr>
        <w:p w:rsidR="008D3FC7" w:rsidRDefault="008D3FC7">
          <w:pPr>
            <w:keepLines/>
            <w:spacing w:before="40" w:after="40" w:line="180" w:lineRule="exact"/>
            <w:jc w:val="center"/>
            <w:rPr>
              <w:sz w:val="16"/>
              <w:szCs w:val="16"/>
            </w:rPr>
          </w:pPr>
          <w:r>
            <w:rPr>
              <w:sz w:val="16"/>
              <w:szCs w:val="16"/>
            </w:rPr>
            <w:t>2</w:t>
          </w:r>
        </w:p>
      </w:tc>
      <w:tc>
        <w:tcPr>
          <w:tcW w:w="1247" w:type="dxa"/>
          <w:tcBorders>
            <w:top w:val="single" w:sz="6" w:space="0" w:color="auto"/>
            <w:left w:val="single" w:sz="6" w:space="0" w:color="auto"/>
            <w:bottom w:val="single" w:sz="6" w:space="0" w:color="auto"/>
            <w:right w:val="single" w:sz="6" w:space="0" w:color="auto"/>
          </w:tcBorders>
        </w:tcPr>
        <w:p w:rsidR="008D3FC7" w:rsidRDefault="008D3FC7">
          <w:pPr>
            <w:keepLines/>
            <w:spacing w:before="40" w:after="40" w:line="180" w:lineRule="exact"/>
            <w:jc w:val="center"/>
            <w:rPr>
              <w:sz w:val="16"/>
              <w:szCs w:val="16"/>
            </w:rPr>
          </w:pPr>
          <w:r>
            <w:rPr>
              <w:sz w:val="16"/>
              <w:szCs w:val="16"/>
            </w:rPr>
            <w:t>(3)</w:t>
          </w:r>
        </w:p>
      </w:tc>
      <w:tc>
        <w:tcPr>
          <w:tcW w:w="709" w:type="dxa"/>
          <w:tcBorders>
            <w:top w:val="single" w:sz="6" w:space="0" w:color="auto"/>
            <w:left w:val="single" w:sz="6" w:space="0" w:color="auto"/>
            <w:bottom w:val="single" w:sz="6" w:space="0" w:color="auto"/>
            <w:right w:val="single" w:sz="6" w:space="0" w:color="auto"/>
          </w:tcBorders>
        </w:tcPr>
        <w:p w:rsidR="008D3FC7" w:rsidRDefault="008D3FC7">
          <w:pPr>
            <w:keepLines/>
            <w:spacing w:before="40" w:after="40" w:line="180" w:lineRule="exact"/>
            <w:jc w:val="center"/>
            <w:rPr>
              <w:sz w:val="16"/>
              <w:szCs w:val="16"/>
            </w:rPr>
          </w:pPr>
          <w:r>
            <w:rPr>
              <w:sz w:val="16"/>
              <w:szCs w:val="16"/>
            </w:rPr>
            <w:t>4</w:t>
          </w:r>
        </w:p>
      </w:tc>
      <w:tc>
        <w:tcPr>
          <w:tcW w:w="4820" w:type="dxa"/>
          <w:tcBorders>
            <w:top w:val="single" w:sz="6" w:space="0" w:color="auto"/>
            <w:left w:val="single" w:sz="6" w:space="0" w:color="auto"/>
            <w:bottom w:val="single" w:sz="6" w:space="0" w:color="auto"/>
            <w:right w:val="single" w:sz="6" w:space="0" w:color="auto"/>
          </w:tcBorders>
        </w:tcPr>
        <w:p w:rsidR="008D3FC7" w:rsidRDefault="008D3FC7">
          <w:pPr>
            <w:keepLines/>
            <w:spacing w:before="40" w:after="40" w:line="180" w:lineRule="exact"/>
            <w:jc w:val="center"/>
            <w:rPr>
              <w:sz w:val="16"/>
              <w:szCs w:val="16"/>
            </w:rPr>
          </w:pPr>
          <w:r>
            <w:rPr>
              <w:sz w:val="16"/>
              <w:szCs w:val="16"/>
            </w:rPr>
            <w:t>5</w:t>
          </w:r>
        </w:p>
      </w:tc>
      <w:tc>
        <w:tcPr>
          <w:tcW w:w="4253" w:type="dxa"/>
          <w:tcBorders>
            <w:top w:val="single" w:sz="6" w:space="0" w:color="auto"/>
            <w:left w:val="single" w:sz="6" w:space="0" w:color="auto"/>
            <w:bottom w:val="single" w:sz="6" w:space="0" w:color="auto"/>
            <w:right w:val="single" w:sz="6" w:space="0" w:color="auto"/>
          </w:tcBorders>
        </w:tcPr>
        <w:p w:rsidR="008D3FC7" w:rsidRDefault="008D3FC7">
          <w:pPr>
            <w:keepLines/>
            <w:spacing w:before="40" w:after="40" w:line="180" w:lineRule="exact"/>
            <w:jc w:val="center"/>
            <w:rPr>
              <w:sz w:val="16"/>
              <w:szCs w:val="16"/>
            </w:rPr>
          </w:pPr>
          <w:r>
            <w:rPr>
              <w:sz w:val="16"/>
              <w:szCs w:val="16"/>
            </w:rPr>
            <w:t>(6)</w:t>
          </w:r>
        </w:p>
      </w:tc>
      <w:tc>
        <w:tcPr>
          <w:tcW w:w="2552" w:type="dxa"/>
          <w:tcBorders>
            <w:top w:val="single" w:sz="6" w:space="0" w:color="auto"/>
            <w:left w:val="single" w:sz="6" w:space="0" w:color="auto"/>
            <w:bottom w:val="single" w:sz="6" w:space="0" w:color="auto"/>
            <w:right w:val="single" w:sz="6" w:space="0" w:color="auto"/>
          </w:tcBorders>
        </w:tcPr>
        <w:p w:rsidR="008D3FC7" w:rsidRDefault="008D3FC7">
          <w:pPr>
            <w:keepLines/>
            <w:spacing w:before="40" w:after="40" w:line="180" w:lineRule="exact"/>
            <w:jc w:val="center"/>
            <w:rPr>
              <w:sz w:val="16"/>
              <w:szCs w:val="16"/>
            </w:rPr>
          </w:pPr>
          <w:r>
            <w:rPr>
              <w:sz w:val="16"/>
              <w:szCs w:val="16"/>
            </w:rPr>
            <w:t>(7)</w:t>
          </w:r>
        </w:p>
      </w:tc>
    </w:tr>
    <w:tr w:rsidR="008D3FC7">
      <w:trPr>
        <w:cantSplit/>
        <w:jc w:val="center"/>
      </w:trPr>
      <w:tc>
        <w:tcPr>
          <w:tcW w:w="567" w:type="dxa"/>
          <w:tcBorders>
            <w:top w:val="single" w:sz="6" w:space="0" w:color="auto"/>
            <w:left w:val="single" w:sz="6" w:space="0" w:color="auto"/>
            <w:bottom w:val="single" w:sz="6" w:space="0" w:color="auto"/>
            <w:right w:val="single" w:sz="6" w:space="0" w:color="auto"/>
          </w:tcBorders>
        </w:tcPr>
        <w:p w:rsidR="008D3FC7" w:rsidRDefault="008D3FC7">
          <w:pPr>
            <w:keepLines/>
            <w:spacing w:before="100" w:after="60" w:line="190" w:lineRule="exact"/>
            <w:jc w:val="center"/>
            <w:rPr>
              <w:b/>
              <w:sz w:val="16"/>
              <w:szCs w:val="16"/>
            </w:rPr>
          </w:pPr>
          <w:r>
            <w:rPr>
              <w:b/>
              <w:sz w:val="16"/>
              <w:szCs w:val="16"/>
            </w:rPr>
            <w:t>MB</w:t>
          </w:r>
          <w:r>
            <w:rPr>
              <w:b/>
              <w:position w:val="6"/>
              <w:sz w:val="12"/>
              <w:szCs w:val="12"/>
            </w:rPr>
            <w:t>1</w:t>
          </w:r>
          <w:r>
            <w:rPr>
              <w:b/>
              <w:sz w:val="16"/>
              <w:szCs w:val="16"/>
            </w:rPr>
            <w:br/>
          </w:r>
        </w:p>
      </w:tc>
      <w:tc>
        <w:tcPr>
          <w:tcW w:w="1361" w:type="dxa"/>
          <w:tcBorders>
            <w:top w:val="single" w:sz="6" w:space="0" w:color="auto"/>
            <w:left w:val="single" w:sz="6" w:space="0" w:color="auto"/>
            <w:bottom w:val="single" w:sz="6" w:space="0" w:color="auto"/>
            <w:right w:val="single" w:sz="6" w:space="0" w:color="auto"/>
          </w:tcBorders>
        </w:tcPr>
        <w:p w:rsidR="008D3FC7" w:rsidRDefault="008D3FC7">
          <w:pPr>
            <w:keepLines/>
            <w:spacing w:before="100" w:after="60" w:line="190" w:lineRule="exact"/>
            <w:jc w:val="center"/>
            <w:rPr>
              <w:b/>
              <w:sz w:val="16"/>
              <w:szCs w:val="16"/>
            </w:rPr>
          </w:pPr>
          <w:r>
            <w:rPr>
              <w:b/>
              <w:sz w:val="16"/>
              <w:szCs w:val="16"/>
            </w:rPr>
            <w:t>Clause No./</w:t>
          </w:r>
          <w:r>
            <w:rPr>
              <w:b/>
              <w:sz w:val="16"/>
              <w:szCs w:val="16"/>
            </w:rPr>
            <w:br/>
            <w:t>Subclause No./</w:t>
          </w:r>
          <w:r>
            <w:rPr>
              <w:b/>
              <w:sz w:val="16"/>
              <w:szCs w:val="16"/>
            </w:rPr>
            <w:br/>
            <w:t>Annex</w:t>
          </w:r>
          <w:r>
            <w:rPr>
              <w:b/>
              <w:sz w:val="16"/>
              <w:szCs w:val="16"/>
            </w:rPr>
            <w:br/>
          </w:r>
          <w:r>
            <w:rPr>
              <w:sz w:val="16"/>
              <w:szCs w:val="16"/>
            </w:rPr>
            <w:t>(e.g. 3.1)</w:t>
          </w:r>
        </w:p>
      </w:tc>
      <w:tc>
        <w:tcPr>
          <w:tcW w:w="1247" w:type="dxa"/>
          <w:tcBorders>
            <w:top w:val="single" w:sz="6" w:space="0" w:color="auto"/>
            <w:left w:val="single" w:sz="6" w:space="0" w:color="auto"/>
            <w:bottom w:val="single" w:sz="6" w:space="0" w:color="auto"/>
            <w:right w:val="single" w:sz="6" w:space="0" w:color="auto"/>
          </w:tcBorders>
        </w:tcPr>
        <w:p w:rsidR="008D3FC7" w:rsidRDefault="008D3FC7">
          <w:pPr>
            <w:keepLines/>
            <w:spacing w:before="100" w:after="60" w:line="190" w:lineRule="exact"/>
            <w:jc w:val="center"/>
            <w:rPr>
              <w:b/>
              <w:sz w:val="16"/>
              <w:szCs w:val="16"/>
            </w:rPr>
          </w:pPr>
          <w:r>
            <w:rPr>
              <w:b/>
              <w:sz w:val="16"/>
              <w:szCs w:val="16"/>
            </w:rPr>
            <w:t>Paragraph/</w:t>
          </w:r>
          <w:r>
            <w:rPr>
              <w:b/>
              <w:sz w:val="16"/>
              <w:szCs w:val="16"/>
            </w:rPr>
            <w:br/>
            <w:t>Figure/Table/Note</w:t>
          </w:r>
          <w:r>
            <w:rPr>
              <w:b/>
              <w:sz w:val="16"/>
              <w:szCs w:val="16"/>
            </w:rPr>
            <w:br/>
          </w:r>
          <w:r>
            <w:rPr>
              <w:sz w:val="16"/>
              <w:szCs w:val="16"/>
            </w:rPr>
            <w:t>(e.g. Table 1)</w:t>
          </w:r>
        </w:p>
      </w:tc>
      <w:tc>
        <w:tcPr>
          <w:tcW w:w="709" w:type="dxa"/>
          <w:tcBorders>
            <w:top w:val="single" w:sz="6" w:space="0" w:color="auto"/>
            <w:left w:val="single" w:sz="6" w:space="0" w:color="auto"/>
            <w:bottom w:val="single" w:sz="6" w:space="0" w:color="auto"/>
            <w:right w:val="single" w:sz="6" w:space="0" w:color="auto"/>
          </w:tcBorders>
        </w:tcPr>
        <w:p w:rsidR="008D3FC7" w:rsidRDefault="008D3FC7">
          <w:pPr>
            <w:keepLines/>
            <w:spacing w:before="100" w:after="60" w:line="190" w:lineRule="exact"/>
            <w:jc w:val="center"/>
            <w:rPr>
              <w:b/>
              <w:sz w:val="16"/>
              <w:szCs w:val="16"/>
            </w:rPr>
          </w:pPr>
          <w:r>
            <w:rPr>
              <w:b/>
              <w:sz w:val="16"/>
              <w:szCs w:val="16"/>
            </w:rPr>
            <w:t>Type of com-ment</w:t>
          </w:r>
          <w:r>
            <w:rPr>
              <w:b/>
              <w:position w:val="6"/>
              <w:sz w:val="12"/>
              <w:szCs w:val="12"/>
            </w:rPr>
            <w:t>2</w:t>
          </w:r>
        </w:p>
      </w:tc>
      <w:tc>
        <w:tcPr>
          <w:tcW w:w="4820" w:type="dxa"/>
          <w:tcBorders>
            <w:top w:val="single" w:sz="6" w:space="0" w:color="auto"/>
            <w:left w:val="single" w:sz="6" w:space="0" w:color="auto"/>
            <w:bottom w:val="single" w:sz="6" w:space="0" w:color="auto"/>
            <w:right w:val="single" w:sz="6" w:space="0" w:color="auto"/>
          </w:tcBorders>
        </w:tcPr>
        <w:p w:rsidR="008D3FC7" w:rsidRDefault="008D3FC7">
          <w:pPr>
            <w:keepLines/>
            <w:spacing w:before="100" w:after="60" w:line="190" w:lineRule="exact"/>
            <w:jc w:val="center"/>
            <w:rPr>
              <w:b/>
              <w:sz w:val="16"/>
              <w:szCs w:val="16"/>
            </w:rPr>
          </w:pPr>
          <w:r>
            <w:rPr>
              <w:b/>
              <w:sz w:val="16"/>
              <w:szCs w:val="16"/>
            </w:rPr>
            <w:t>Comment (justification for change) by the MB</w:t>
          </w:r>
        </w:p>
      </w:tc>
      <w:tc>
        <w:tcPr>
          <w:tcW w:w="4253" w:type="dxa"/>
          <w:tcBorders>
            <w:top w:val="single" w:sz="6" w:space="0" w:color="auto"/>
            <w:left w:val="single" w:sz="6" w:space="0" w:color="auto"/>
            <w:bottom w:val="single" w:sz="6" w:space="0" w:color="auto"/>
            <w:right w:val="single" w:sz="6" w:space="0" w:color="auto"/>
          </w:tcBorders>
        </w:tcPr>
        <w:p w:rsidR="008D3FC7" w:rsidRDefault="008D3FC7">
          <w:pPr>
            <w:keepLines/>
            <w:spacing w:before="100" w:after="60" w:line="190" w:lineRule="exact"/>
            <w:jc w:val="center"/>
            <w:rPr>
              <w:b/>
              <w:sz w:val="16"/>
              <w:szCs w:val="16"/>
            </w:rPr>
          </w:pPr>
          <w:r>
            <w:rPr>
              <w:b/>
              <w:sz w:val="16"/>
              <w:szCs w:val="16"/>
            </w:rPr>
            <w:t>Proposed change by the MB</w:t>
          </w:r>
        </w:p>
      </w:tc>
      <w:tc>
        <w:tcPr>
          <w:tcW w:w="2552" w:type="dxa"/>
          <w:tcBorders>
            <w:top w:val="single" w:sz="6" w:space="0" w:color="auto"/>
            <w:left w:val="single" w:sz="6" w:space="0" w:color="auto"/>
            <w:bottom w:val="single" w:sz="6" w:space="0" w:color="auto"/>
            <w:right w:val="single" w:sz="6" w:space="0" w:color="auto"/>
          </w:tcBorders>
        </w:tcPr>
        <w:p w:rsidR="008D3FC7" w:rsidRDefault="008D3FC7">
          <w:pPr>
            <w:keepLines/>
            <w:spacing w:before="100" w:after="60" w:line="190" w:lineRule="exact"/>
            <w:jc w:val="center"/>
            <w:rPr>
              <w:b/>
              <w:sz w:val="16"/>
              <w:szCs w:val="16"/>
            </w:rPr>
          </w:pPr>
          <w:r>
            <w:rPr>
              <w:b/>
              <w:sz w:val="16"/>
              <w:szCs w:val="16"/>
            </w:rPr>
            <w:t>Secretariat observations</w:t>
          </w:r>
          <w:r>
            <w:rPr>
              <w:b/>
              <w:sz w:val="16"/>
              <w:szCs w:val="16"/>
            </w:rPr>
            <w:br/>
          </w:r>
          <w:r>
            <w:rPr>
              <w:sz w:val="16"/>
              <w:szCs w:val="16"/>
            </w:rPr>
            <w:t>on each comment submitted</w:t>
          </w:r>
        </w:p>
      </w:tc>
    </w:tr>
  </w:tbl>
  <w:p w:rsidR="008D3FC7" w:rsidRDefault="008D3FC7">
    <w:pPr>
      <w:pStyle w:val="Header"/>
      <w:rPr>
        <w:sz w:val="2"/>
        <w:szCs w:val="2"/>
      </w:rPr>
    </w:pPr>
  </w:p>
  <w:p w:rsidR="008D3FC7" w:rsidRDefault="008D3FC7">
    <w:pPr>
      <w:pStyle w:val="Header"/>
      <w:spacing w:line="14" w:lineRule="exact"/>
      <w:rPr>
        <w:sz w:val="4"/>
        <w:szCs w:val="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C0F" w:rsidRDefault="00B60C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1946"/>
    <w:multiLevelType w:val="hybridMultilevel"/>
    <w:tmpl w:val="A0A2CFDA"/>
    <w:lvl w:ilvl="0" w:tplc="930488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50AB6"/>
    <w:multiLevelType w:val="hybridMultilevel"/>
    <w:tmpl w:val="E578AD66"/>
    <w:lvl w:ilvl="0" w:tplc="0409000F">
      <w:start w:val="16"/>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00C6C70"/>
    <w:multiLevelType w:val="hybridMultilevel"/>
    <w:tmpl w:val="4936EF6E"/>
    <w:lvl w:ilvl="0" w:tplc="D88616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B85E6B"/>
    <w:multiLevelType w:val="hybridMultilevel"/>
    <w:tmpl w:val="DE0C1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880A28"/>
    <w:multiLevelType w:val="multilevel"/>
    <w:tmpl w:val="9F5AB1AE"/>
    <w:name w:val="numbered list"/>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ttachedTemplate r:id="rId1"/>
  <w:stylePaneFormatFilter w:val="0000"/>
  <w:defaultTabStop w:val="851"/>
  <w:doNotHyphenateCaps/>
  <w:drawingGridHorizontalSpacing w:val="0"/>
  <w:drawingGridVerticalSpacing w:val="0"/>
  <w:displayHorizontalDrawingGridEvery w:val="0"/>
  <w:displayVerticalDrawingGridEvery w:val="0"/>
  <w:characterSpacingControl w:val="doNotCompress"/>
  <w:savePreviewPicture/>
  <w:footnotePr>
    <w:footnote w:id="-1"/>
    <w:footnote w:id="0"/>
  </w:footnotePr>
  <w:endnotePr>
    <w:endnote w:id="-1"/>
    <w:endnote w:id="0"/>
  </w:endnotePr>
  <w:compat/>
  <w:docVars>
    <w:docVar w:name="O974ISO" w:val="-1"/>
  </w:docVars>
  <w:rsids>
    <w:rsidRoot w:val="000C6DCD"/>
    <w:rsid w:val="0005508E"/>
    <w:rsid w:val="00090305"/>
    <w:rsid w:val="000C6DCD"/>
    <w:rsid w:val="0011401A"/>
    <w:rsid w:val="00115DDA"/>
    <w:rsid w:val="00231F3A"/>
    <w:rsid w:val="00292B29"/>
    <w:rsid w:val="002E6299"/>
    <w:rsid w:val="002E6F19"/>
    <w:rsid w:val="00380F9D"/>
    <w:rsid w:val="004F2102"/>
    <w:rsid w:val="00547C1E"/>
    <w:rsid w:val="00625D79"/>
    <w:rsid w:val="0066440F"/>
    <w:rsid w:val="006F2DE4"/>
    <w:rsid w:val="00747C0D"/>
    <w:rsid w:val="007B0A2E"/>
    <w:rsid w:val="007B5E16"/>
    <w:rsid w:val="007D657C"/>
    <w:rsid w:val="007E62B8"/>
    <w:rsid w:val="008D3FC7"/>
    <w:rsid w:val="008F7CF3"/>
    <w:rsid w:val="00A42173"/>
    <w:rsid w:val="00A775B5"/>
    <w:rsid w:val="00AB480F"/>
    <w:rsid w:val="00B60C0F"/>
    <w:rsid w:val="00BF6C12"/>
    <w:rsid w:val="00C109DC"/>
    <w:rsid w:val="00C14D28"/>
    <w:rsid w:val="00C6538D"/>
    <w:rsid w:val="00C84199"/>
    <w:rsid w:val="00CD1AC0"/>
    <w:rsid w:val="00D555F7"/>
    <w:rsid w:val="00D74783"/>
    <w:rsid w:val="00D84A00"/>
    <w:rsid w:val="00E975A8"/>
    <w:rsid w:val="00ED5C1C"/>
    <w:rsid w:val="00F91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305"/>
    <w:pPr>
      <w:jc w:val="both"/>
    </w:pPr>
    <w:rPr>
      <w:rFonts w:ascii="Arial" w:hAnsi="Arial"/>
      <w:sz w:val="22"/>
      <w:szCs w:val="22"/>
      <w:lang w:val="en-GB"/>
    </w:rPr>
  </w:style>
  <w:style w:type="paragraph" w:styleId="Heading1">
    <w:name w:val="heading 1"/>
    <w:basedOn w:val="Normal"/>
    <w:next w:val="Normal"/>
    <w:qFormat/>
    <w:rsid w:val="00090305"/>
    <w:pPr>
      <w:keepNext/>
      <w:spacing w:before="120" w:after="200"/>
      <w:outlineLvl w:val="0"/>
    </w:pPr>
    <w:rPr>
      <w:b/>
      <w:sz w:val="24"/>
      <w:szCs w:val="24"/>
    </w:rPr>
  </w:style>
  <w:style w:type="paragraph" w:styleId="Heading2">
    <w:name w:val="heading 2"/>
    <w:basedOn w:val="Heading1"/>
    <w:next w:val="Normal"/>
    <w:qFormat/>
    <w:rsid w:val="00090305"/>
    <w:pPr>
      <w:spacing w:before="0"/>
      <w:ind w:left="567" w:hanging="567"/>
      <w:outlineLvl w:val="1"/>
    </w:pPr>
    <w:rPr>
      <w:sz w:val="22"/>
      <w:szCs w:val="22"/>
    </w:rPr>
  </w:style>
  <w:style w:type="paragraph" w:styleId="Heading3">
    <w:name w:val="heading 3"/>
    <w:basedOn w:val="Heading2"/>
    <w:next w:val="Normal"/>
    <w:qFormat/>
    <w:rsid w:val="00090305"/>
    <w:pPr>
      <w:outlineLvl w:val="2"/>
    </w:pPr>
    <w:rPr>
      <w:b w:val="0"/>
    </w:rPr>
  </w:style>
  <w:style w:type="paragraph" w:styleId="Heading4">
    <w:name w:val="heading 4"/>
    <w:basedOn w:val="Heading3"/>
    <w:next w:val="Normal"/>
    <w:qFormat/>
    <w:rsid w:val="00090305"/>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rsid w:val="00090305"/>
  </w:style>
  <w:style w:type="paragraph" w:styleId="Footer">
    <w:name w:val="footer"/>
    <w:basedOn w:val="Normal"/>
    <w:semiHidden/>
    <w:rsid w:val="00090305"/>
    <w:pPr>
      <w:tabs>
        <w:tab w:val="center" w:pos="4820"/>
        <w:tab w:val="right" w:pos="9639"/>
      </w:tabs>
    </w:pPr>
  </w:style>
  <w:style w:type="paragraph" w:customStyle="1" w:styleId="ISOMB">
    <w:name w:val="ISO_MB"/>
    <w:basedOn w:val="Normal"/>
    <w:rsid w:val="00090305"/>
    <w:pPr>
      <w:spacing w:before="210" w:line="210" w:lineRule="exact"/>
      <w:jc w:val="left"/>
    </w:pPr>
    <w:rPr>
      <w:sz w:val="18"/>
      <w:szCs w:val="18"/>
    </w:rPr>
  </w:style>
  <w:style w:type="paragraph" w:customStyle="1" w:styleId="ISOClause">
    <w:name w:val="ISO_Clause"/>
    <w:basedOn w:val="Normal"/>
    <w:rsid w:val="00090305"/>
    <w:pPr>
      <w:spacing w:before="210" w:line="210" w:lineRule="exact"/>
      <w:jc w:val="left"/>
    </w:pPr>
    <w:rPr>
      <w:sz w:val="18"/>
      <w:szCs w:val="18"/>
    </w:rPr>
  </w:style>
  <w:style w:type="paragraph" w:customStyle="1" w:styleId="ISOParagraph">
    <w:name w:val="ISO_Paragraph"/>
    <w:basedOn w:val="Normal"/>
    <w:rsid w:val="00090305"/>
    <w:pPr>
      <w:spacing w:before="210" w:line="210" w:lineRule="exact"/>
      <w:jc w:val="left"/>
    </w:pPr>
    <w:rPr>
      <w:sz w:val="18"/>
      <w:szCs w:val="18"/>
    </w:rPr>
  </w:style>
  <w:style w:type="character" w:styleId="PageNumber">
    <w:name w:val="page number"/>
    <w:basedOn w:val="DefaultParagraphFont"/>
    <w:rsid w:val="00090305"/>
    <w:rPr>
      <w:sz w:val="20"/>
      <w:szCs w:val="20"/>
    </w:rPr>
  </w:style>
  <w:style w:type="paragraph" w:customStyle="1" w:styleId="ISOCommType">
    <w:name w:val="ISO_Comm_Type"/>
    <w:basedOn w:val="Normal"/>
    <w:rsid w:val="00090305"/>
    <w:pPr>
      <w:spacing w:before="210" w:line="210" w:lineRule="exact"/>
      <w:jc w:val="left"/>
    </w:pPr>
    <w:rPr>
      <w:sz w:val="18"/>
      <w:szCs w:val="18"/>
    </w:rPr>
  </w:style>
  <w:style w:type="paragraph" w:customStyle="1" w:styleId="ISOComments">
    <w:name w:val="ISO_Comments"/>
    <w:basedOn w:val="Normal"/>
    <w:rsid w:val="00090305"/>
    <w:pPr>
      <w:spacing w:before="210" w:line="210" w:lineRule="exact"/>
      <w:jc w:val="left"/>
    </w:pPr>
    <w:rPr>
      <w:sz w:val="18"/>
      <w:szCs w:val="18"/>
    </w:rPr>
  </w:style>
  <w:style w:type="paragraph" w:customStyle="1" w:styleId="ISOChange">
    <w:name w:val="ISO_Change"/>
    <w:basedOn w:val="Normal"/>
    <w:rsid w:val="00090305"/>
    <w:pPr>
      <w:spacing w:before="210" w:line="210" w:lineRule="exact"/>
      <w:jc w:val="left"/>
    </w:pPr>
    <w:rPr>
      <w:sz w:val="18"/>
      <w:szCs w:val="18"/>
    </w:rPr>
  </w:style>
  <w:style w:type="paragraph" w:customStyle="1" w:styleId="ISOSecretObservations">
    <w:name w:val="ISO_Secret_Observations"/>
    <w:basedOn w:val="Normal"/>
    <w:rsid w:val="00090305"/>
    <w:pPr>
      <w:spacing w:before="210" w:line="210" w:lineRule="exact"/>
      <w:jc w:val="left"/>
    </w:pPr>
    <w:rPr>
      <w:sz w:val="18"/>
      <w:szCs w:val="18"/>
    </w:rPr>
  </w:style>
  <w:style w:type="character" w:customStyle="1" w:styleId="MTEquationSection">
    <w:name w:val="MTEquationSection"/>
    <w:basedOn w:val="DefaultParagraphFont"/>
    <w:rsid w:val="00090305"/>
    <w:rPr>
      <w:color w:val="FF0000"/>
      <w:sz w:val="16"/>
      <w:szCs w:val="16"/>
    </w:rPr>
  </w:style>
  <w:style w:type="paragraph" w:styleId="FootnoteText">
    <w:name w:val="footnote text"/>
    <w:basedOn w:val="Normal"/>
    <w:semiHidden/>
    <w:rsid w:val="00090305"/>
    <w:rPr>
      <w:sz w:val="20"/>
      <w:szCs w:val="20"/>
    </w:rPr>
  </w:style>
  <w:style w:type="character" w:styleId="FootnoteReference">
    <w:name w:val="footnote reference"/>
    <w:basedOn w:val="DefaultParagraphFont"/>
    <w:semiHidden/>
    <w:rsid w:val="00090305"/>
    <w:rPr>
      <w:vertAlign w:val="superscript"/>
    </w:rPr>
  </w:style>
  <w:style w:type="character" w:customStyle="1" w:styleId="mtequationsection0">
    <w:name w:val="mtequationsection"/>
    <w:basedOn w:val="DefaultParagraphFont"/>
    <w:rsid w:val="00090305"/>
  </w:style>
  <w:style w:type="paragraph" w:customStyle="1" w:styleId="Definition">
    <w:name w:val="Definition"/>
    <w:basedOn w:val="Normal"/>
    <w:next w:val="Normal"/>
    <w:rsid w:val="00CE2BFE"/>
    <w:pPr>
      <w:spacing w:after="240" w:line="230" w:lineRule="atLeast"/>
    </w:pPr>
    <w:rPr>
      <w:sz w:val="20"/>
      <w:szCs w:val="20"/>
    </w:rPr>
  </w:style>
  <w:style w:type="paragraph" w:customStyle="1" w:styleId="Terms">
    <w:name w:val="Term(s)"/>
    <w:basedOn w:val="Normal"/>
    <w:next w:val="Definition"/>
    <w:rsid w:val="00CE2BFE"/>
    <w:pPr>
      <w:keepNext/>
      <w:suppressAutoHyphens/>
      <w:spacing w:line="230" w:lineRule="atLeast"/>
      <w:jc w:val="left"/>
    </w:pPr>
    <w:rPr>
      <w:b/>
      <w:sz w:val="20"/>
      <w:szCs w:val="20"/>
    </w:rPr>
  </w:style>
  <w:style w:type="paragraph" w:styleId="ListNumber">
    <w:name w:val="List Number"/>
    <w:basedOn w:val="Normal"/>
    <w:rsid w:val="00CD1AC0"/>
    <w:pPr>
      <w:numPr>
        <w:numId w:val="3"/>
      </w:numPr>
      <w:tabs>
        <w:tab w:val="left" w:pos="400"/>
      </w:tabs>
      <w:spacing w:after="240" w:line="230" w:lineRule="atLeast"/>
    </w:pPr>
    <w:rPr>
      <w:rFonts w:eastAsia="MS Mincho"/>
      <w:sz w:val="20"/>
      <w:szCs w:val="20"/>
      <w:lang w:eastAsia="ja-JP"/>
    </w:rPr>
  </w:style>
  <w:style w:type="paragraph" w:styleId="ListNumber2">
    <w:name w:val="List Number 2"/>
    <w:basedOn w:val="Normal"/>
    <w:rsid w:val="00CD1AC0"/>
    <w:pPr>
      <w:numPr>
        <w:ilvl w:val="1"/>
        <w:numId w:val="3"/>
      </w:numPr>
      <w:tabs>
        <w:tab w:val="left" w:pos="800"/>
      </w:tabs>
      <w:spacing w:after="240" w:line="230" w:lineRule="atLeast"/>
    </w:pPr>
    <w:rPr>
      <w:rFonts w:eastAsia="MS Mincho"/>
      <w:sz w:val="20"/>
      <w:szCs w:val="20"/>
      <w:lang w:eastAsia="ja-JP"/>
    </w:rPr>
  </w:style>
  <w:style w:type="paragraph" w:styleId="ListNumber3">
    <w:name w:val="List Number 3"/>
    <w:basedOn w:val="Normal"/>
    <w:rsid w:val="00CD1AC0"/>
    <w:pPr>
      <w:numPr>
        <w:ilvl w:val="2"/>
        <w:numId w:val="3"/>
      </w:numPr>
      <w:tabs>
        <w:tab w:val="left" w:pos="1200"/>
      </w:tabs>
      <w:spacing w:after="240" w:line="230" w:lineRule="atLeast"/>
    </w:pPr>
    <w:rPr>
      <w:rFonts w:eastAsia="MS Mincho"/>
      <w:sz w:val="20"/>
      <w:szCs w:val="20"/>
      <w:lang w:eastAsia="ja-JP"/>
    </w:rPr>
  </w:style>
  <w:style w:type="paragraph" w:styleId="ListNumber4">
    <w:name w:val="List Number 4"/>
    <w:basedOn w:val="Normal"/>
    <w:rsid w:val="00CD1AC0"/>
    <w:pPr>
      <w:numPr>
        <w:ilvl w:val="3"/>
        <w:numId w:val="3"/>
      </w:numPr>
      <w:tabs>
        <w:tab w:val="left" w:pos="1600"/>
      </w:tabs>
      <w:spacing w:after="240" w:line="230" w:lineRule="atLeast"/>
    </w:pPr>
    <w:rPr>
      <w:rFonts w:eastAsia="MS Mincho"/>
      <w:sz w:val="20"/>
      <w:szCs w:val="20"/>
      <w:lang w:eastAsia="ja-JP"/>
    </w:rPr>
  </w:style>
  <w:style w:type="paragraph" w:styleId="ListParagraph">
    <w:name w:val="List Paragraph"/>
    <w:basedOn w:val="Normal"/>
    <w:uiPriority w:val="34"/>
    <w:qFormat/>
    <w:rsid w:val="00CD1AC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emichi\My%20Documents\commentmd1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commentmd1template</Template>
  <TotalTime>505</TotalTime>
  <Pages>7</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CommentsOn</vt:lpstr>
    </vt:vector>
  </TitlesOfParts>
  <Company>ISO</Company>
  <LinksUpToDate>false</LinksUpToDate>
  <CharactersWithSpaces>8453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CommentsOn</dc:title>
  <dc:subject/>
  <dc:creator>dow</dc:creator>
  <cp:keywords/>
  <dc:description>FORM (ISO)</dc:description>
  <cp:lastModifiedBy>Savi</cp:lastModifiedBy>
  <cp:revision>22</cp:revision>
  <cp:lastPrinted>2010-02-16T23:40:00Z</cp:lastPrinted>
  <dcterms:created xsi:type="dcterms:W3CDTF">2010-02-16T16:39:00Z</dcterms:created>
  <dcterms:modified xsi:type="dcterms:W3CDTF">2010-02-17T01:29:00Z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ies>
</file>