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D97F35"/>
          <w:spacing w:val="30"/>
          <w:sz w:val="18"/>
          <w:szCs w:val="18"/>
        </w:rPr>
        <w:t xml:space="preserve">INMINUTES</w:t>
      </w:r>
    </w:p>
    <w:p>
      <w:pPr>
        <w:spacing w:after="40"/>
      </w:pPr>
      <w:r>
        <w:rPr>
          <w:b/>
          <w:bCs/>
          <w:color w:val="1C1B18"/>
          <w:spacing w:val="20"/>
          <w:sz w:val="52"/>
          <w:szCs w:val="52"/>
        </w:rPr>
        <w:t xml:space="preserve">R O U T E</w:t>
      </w:r>
    </w:p>
    <w:p>
      <w:pPr>
        <w:spacing w:after="500"/>
      </w:pPr>
      <w:r>
        <w:rPr>
          <w:i/>
          <w:iCs/>
          <w:color w:val="6E6A5E"/>
          <w:sz w:val="22"/>
          <w:szCs w:val="22"/>
        </w:rPr>
        <w:t xml:space="preserve">Multi-vendor delivery marketplace — Arepo / Axis, Ogun State</w:t>
      </w:r>
    </w:p>
    <w:p>
      <w:pPr>
        <w:pBdr>
          <w:bottom w:val="single" w:color="D97F35" w:sz="24"/>
        </w:pBdr>
        <w:spacing w:after="480"/>
      </w:pPr>
    </w:p>
    <w:p>
      <w:pPr>
        <w:spacing w:after="60"/>
      </w:pPr>
      <w:r>
        <w:rPr>
          <w:b/>
          <w:bCs/>
          <w:color w:val="1C1B18"/>
          <w:sz w:val="40"/>
          <w:szCs w:val="40"/>
        </w:rPr>
        <w:t xml:space="preserve">SCOPE OF WORK</w:t>
      </w:r>
    </w:p>
    <w:p>
      <w:pPr>
        <w:spacing w:after="700"/>
      </w:pPr>
      <w:r>
        <w:rPr>
          <w:b/>
          <w:bCs/>
          <w:color w:val="B33D2E"/>
          <w:sz w:val="24"/>
          <w:szCs w:val="24"/>
        </w:rPr>
        <w:t xml:space="preserve">Deployment, Verification &amp; Launch Readiness — Pilot Phase</w:t>
      </w:r>
    </w:p>
    <w:tbl>
      <w:tblPr>
        <w:tblW w:type="dxa" w:w="9400"/>
        <w:tblBorders>
          <w:top w:val="none"/>
          <w:left w:val="none"/>
          <w:bottom w:val="none"/>
          <w:right w:val="none"/>
          <w:insideH w:val="none"/>
          <w:insideV w:val="none"/>
        </w:tblBorders>
      </w:tblPr>
      <w:tblGrid>
        <w:gridCol w:w="2200"/>
        <w:gridCol w:w="7200"/>
      </w:tblGrid>
      <w:tr>
        <w:tc>
          <w:tcPr>
            <w:tcW w:type="dxa" w:w="2200"/>
            <w:shd w:fill="F6E6D6" w:val="clear"/>
            <w:tcMar>
              <w:top w:type="dxa" w:w="130"/>
              <w:left w:type="dxa" w:w="160"/>
              <w:bottom w:type="dxa" w:w="130"/>
              <w:right w:type="dxa" w:w="100"/>
            </w:tcMar>
            <w:vAlign w:val="center"/>
          </w:tcPr>
          <w:p>
            <w:r>
              <w:rPr>
                <w:b/>
                <w:bCs/>
                <w:color w:val="B33D2E"/>
                <w:sz w:val="19"/>
                <w:szCs w:val="19"/>
              </w:rPr>
              <w:t xml:space="preserve">ROLES</w:t>
            </w:r>
          </w:p>
        </w:tc>
        <w:tc>
          <w:tcPr>
            <w:tcW w:type="dxa" w:w="7200"/>
            <w:tcMar>
              <w:top w:type="dxa" w:w="130"/>
              <w:left w:type="dxa" w:w="160"/>
              <w:bottom w:type="dxa" w:w="130"/>
              <w:right w:type="dxa" w:w="100"/>
            </w:tcMar>
            <w:vAlign w:val="center"/>
          </w:tcPr>
          <w:p>
            <w:r>
              <w:rPr>
                <w:color w:val="1C1B18"/>
                <w:sz w:val="20"/>
                <w:szCs w:val="20"/>
              </w:rPr>
              <w:t xml:space="preserve">Customer · Vendor · Manager · Rider · Admin</w:t>
            </w:r>
          </w:p>
        </w:tc>
      </w:tr>
      <w:tr>
        <w:tc>
          <w:tcPr>
            <w:tcW w:type="dxa" w:w="2200"/>
            <w:shd w:fill="F6E6D6" w:val="clear"/>
            <w:tcMar>
              <w:top w:type="dxa" w:w="130"/>
              <w:left w:type="dxa" w:w="160"/>
              <w:bottom w:type="dxa" w:w="130"/>
              <w:right w:type="dxa" w:w="100"/>
            </w:tcMar>
            <w:vAlign w:val="center"/>
          </w:tcPr>
          <w:p>
            <w:r>
              <w:rPr>
                <w:b/>
                <w:bCs/>
                <w:color w:val="B33D2E"/>
                <w:sz w:val="19"/>
                <w:szCs w:val="19"/>
              </w:rPr>
              <w:t xml:space="preserve">STACK</w:t>
            </w:r>
          </w:p>
        </w:tc>
        <w:tc>
          <w:tcPr>
            <w:tcW w:type="dxa" w:w="7200"/>
            <w:tcMar>
              <w:top w:type="dxa" w:w="130"/>
              <w:left w:type="dxa" w:w="160"/>
              <w:bottom w:type="dxa" w:w="130"/>
              <w:right w:type="dxa" w:w="100"/>
            </w:tcMar>
            <w:vAlign w:val="center"/>
          </w:tcPr>
          <w:p>
            <w:r>
              <w:rPr>
                <w:color w:val="1C1B18"/>
                <w:sz w:val="20"/>
                <w:szCs w:val="20"/>
              </w:rPr>
              <w:t xml:space="preserve">Node.js / Express / PostgreSQL / Prisma  —  Expo / React Native  —  Paystack</w:t>
            </w:r>
          </w:p>
        </w:tc>
      </w:tr>
      <w:tr>
        <w:tc>
          <w:tcPr>
            <w:tcW w:type="dxa" w:w="2200"/>
            <w:shd w:fill="F6E6D6" w:val="clear"/>
            <w:tcMar>
              <w:top w:type="dxa" w:w="130"/>
              <w:left w:type="dxa" w:w="160"/>
              <w:bottom w:type="dxa" w:w="130"/>
              <w:right w:type="dxa" w:w="100"/>
            </w:tcMar>
            <w:vAlign w:val="center"/>
          </w:tcPr>
          <w:p>
            <w:r>
              <w:rPr>
                <w:b/>
                <w:bCs/>
                <w:color w:val="B33D2E"/>
                <w:sz w:val="19"/>
                <w:szCs w:val="19"/>
              </w:rPr>
              <w:t xml:space="preserve">EFFORT</w:t>
            </w:r>
          </w:p>
        </w:tc>
        <w:tc>
          <w:tcPr>
            <w:tcW w:type="dxa" w:w="7200"/>
            <w:tcMar>
              <w:top w:type="dxa" w:w="130"/>
              <w:left w:type="dxa" w:w="160"/>
              <w:bottom w:type="dxa" w:w="130"/>
              <w:right w:type="dxa" w:w="100"/>
            </w:tcMar>
            <w:vAlign w:val="center"/>
          </w:tcPr>
          <w:p>
            <w:r>
              <w:rPr>
                <w:color w:val="1C1B18"/>
                <w:sz w:val="20"/>
                <w:szCs w:val="20"/>
              </w:rPr>
              <w:t xml:space="preserve">13–21 working days  (est. 3–4 weeks calendar time)</w:t>
            </w:r>
          </w:p>
        </w:tc>
      </w:tr>
      <w:tr>
        <w:tc>
          <w:tcPr>
            <w:tcW w:type="dxa" w:w="2200"/>
            <w:shd w:fill="F6E6D6" w:val="clear"/>
            <w:tcMar>
              <w:top w:type="dxa" w:w="130"/>
              <w:left w:type="dxa" w:w="160"/>
              <w:bottom w:type="dxa" w:w="130"/>
              <w:right w:type="dxa" w:w="100"/>
            </w:tcMar>
            <w:vAlign w:val="center"/>
          </w:tcPr>
          <w:p>
            <w:r>
              <w:rPr>
                <w:b/>
                <w:bCs/>
                <w:color w:val="B33D2E"/>
                <w:sz w:val="19"/>
                <w:szCs w:val="19"/>
              </w:rPr>
              <w:t xml:space="preserve">ENGAGEMENT</w:t>
            </w:r>
          </w:p>
        </w:tc>
        <w:tc>
          <w:tcPr>
            <w:tcW w:type="dxa" w:w="7200"/>
            <w:tcMar>
              <w:top w:type="dxa" w:w="130"/>
              <w:left w:type="dxa" w:w="160"/>
              <w:bottom w:type="dxa" w:w="130"/>
              <w:right w:type="dxa" w:w="100"/>
            </w:tcMar>
            <w:vAlign w:val="center"/>
          </w:tcPr>
          <w:p>
            <w:r>
              <w:rPr>
                <w:color w:val="1C1B18"/>
                <w:sz w:val="20"/>
                <w:szCs w:val="20"/>
              </w:rPr>
              <w:t xml:space="preserve">Fixed-price, milestone-based (recommended: 25 / 50 / 25)</w:t>
            </w:r>
          </w:p>
        </w:tc>
      </w:tr>
    </w:tbl>
    <w:p>
      <w:pPr>
        <w:spacing w:before="900"/>
      </w:pPr>
      <w:r>
        <w:rPr>
          <w:color w:val="6E6A5E"/>
          <w:sz w:val="19"/>
          <w:szCs w:val="19"/>
        </w:rPr>
        <w:t xml:space="preserve">Prepared by InMinutes</w:t>
      </w:r>
    </w:p>
    <w:p>
      <w:r>
        <w:rPr>
          <w:color w:val="6E6A5E"/>
          <w:sz w:val="19"/>
          <w:szCs w:val="19"/>
        </w:rPr>
        <w:t xml:space="preserve">[Date]  ·  [Contact]</w:t>
      </w:r>
    </w:p>
    <w:p>
      <w:pPr>
        <w:sectPr>
          <w:pgSz w:w="12240" w:h="15840" w:orient="portrait"/>
          <w:pgMar w:top="2000" w:right="1260" w:bottom="1440" w:left="1260" w:header="708" w:footer="708" w:gutter="0"/>
          <w:pgNumType/>
          <w:docGrid w:linePitch="360"/>
        </w:sectPr>
      </w:pPr>
    </w:p>
    <w:p>
      <w:pPr>
        <w:pStyle w:val="Heading1"/>
        <w:pBdr>
          <w:bottom w:val="single" w:color="DDD6C7" w:sz="6"/>
        </w:pBdr>
        <w:spacing w:after="140" w:before="380"/>
      </w:pPr>
      <w:r>
        <w:rPr>
          <w:b/>
          <w:bCs/>
          <w:color w:val="1C1B18"/>
          <w:sz w:val="25"/>
          <w:szCs w:val="25"/>
        </w:rPr>
        <w:t xml:space="preserve">1. Project Overview</w:t>
      </w:r>
    </w:p>
    <w:p>
      <w:pPr>
        <w:spacing w:after="170" w:line="280"/>
      </w:pPr>
      <w:r>
        <w:rPr>
          <w:color w:val="1C1B18"/>
          <w:sz w:val="21"/>
          <w:szCs w:val="21"/>
        </w:rPr>
        <w:t xml:space="preserve">Route is a multi-vendor delivery app (Restaurant, Grills, Supermarket, Local Market, Pharmacy) serving the Arepo/Axis area, with five roles: Customer, Vendor, Manager (Local Market), Rider, and Admin.</w:t>
      </w:r>
    </w:p>
    <w:p>
      <w:pPr>
        <w:spacing w:after="170" w:line="280"/>
      </w:pPr>
      <w:r>
        <w:rPr>
          <w:color w:val="1C1B18"/>
          <w:sz w:val="21"/>
          <w:szCs w:val="21"/>
        </w:rPr>
        <w:t xml:space="preserve">The project is organized in three parts. A React reference application defines the full intended feature set and interface across all five roles — it is used internally as a living specification and is not, and must never be, deployed to a public URL. A Node.js/Express/PostgreSQL/Prisma backend, and an Expo/React Native mobile app, implement that specification for real use.</w:t>
      </w:r>
    </w:p>
    <w:p>
      <w:pPr>
        <w:spacing w:after="170" w:line="280"/>
      </w:pPr>
      <w:r>
        <w:rPr>
          <w:color w:val="1C1B18"/>
          <w:sz w:val="21"/>
          <w:szCs w:val="21"/>
        </w:rPr>
        <w:t xml:space="preserve">The backend and mobile app are extensively built and closely aligned with each other. The backend implements JWT authentication with live session re-validation, role-based access control, the full order lifecycle with payment-first enforcement, Paystack payment integration (checkout, webhook with signature verification, refunds), Expo push notifications, Socket.io real-time events, rider dispatch and payouts, a two-category dispute/operational-issue system with admin alerting, a ratings and reviews system, identity verification records, and a full audit trail. The mobile app is connected to all of it end-to-end — real login, real checkout through Paystack, real order tracking — not local in-memory state.</w:t>
      </w:r>
    </w:p>
    <w:p>
      <w:pPr>
        <w:spacing w:after="170" w:line="280"/>
      </w:pPr>
      <w:r>
        <w:rPr>
          <w:color w:val="1C1B18"/>
          <w:sz w:val="21"/>
          <w:szCs w:val="21"/>
        </w:rPr>
        <w:t xml:space="preserve">What has never happened, for any of it: a real deployment, a real database, or a single real user touching it. Every piece has been built and verified through static code review — syntax checking, manual tracing, cross-referencing across the three codebases — never by running it. That is the actual state this engagement picks up from, and it reframes the job: substantially less about building features, substantially more about deploying, testing, and closing a specific, named list of remaining gaps.</w:t>
      </w:r>
    </w:p>
    <w:p>
      <w:pPr>
        <w:pStyle w:val="Heading1"/>
        <w:pBdr>
          <w:bottom w:val="single" w:color="DDD6C7" w:sz="6"/>
        </w:pBdr>
        <w:spacing w:after="140" w:before="380"/>
      </w:pPr>
      <w:r>
        <w:rPr>
          <w:b/>
          <w:bCs/>
          <w:color w:val="1C1B18"/>
          <w:sz w:val="25"/>
          <w:szCs w:val="25"/>
        </w:rPr>
        <w:t xml:space="preserve">2. Objective</w:t>
      </w:r>
    </w:p>
    <w:p>
      <w:pPr>
        <w:spacing w:after="170" w:line="280"/>
      </w:pPr>
      <w:r>
        <w:rPr>
          <w:color w:val="1C1B18"/>
          <w:sz w:val="21"/>
          <w:szCs w:val="21"/>
        </w:rPr>
        <w:t xml:space="preserve">Get the backend deployed to a live environment for the first time, run the database migration for the first time, verify Paystack and push notifications against real infrastructure, close the specific security and coverage gaps named in Section 3, and produce an installable pilot build — without requiring App Store/Play Store approval.</w:t>
      </w:r>
    </w:p>
    <w:p>
      <w:pPr>
        <w:pStyle w:val="Heading1"/>
        <w:pBdr>
          <w:bottom w:val="single" w:color="DDD6C7" w:sz="6"/>
        </w:pBdr>
        <w:spacing w:after="140" w:before="380"/>
      </w:pPr>
      <w:r>
        <w:rPr>
          <w:b/>
          <w:bCs/>
          <w:color w:val="1C1B18"/>
          <w:sz w:val="25"/>
          <w:szCs w:val="25"/>
        </w:rPr>
        <w:t xml:space="preserve">3. Scope of Work (Pilot Launch Readiness)</w:t>
      </w:r>
    </w:p>
    <w:tbl>
      <w:tblPr>
        <w:tblW w:type="dxa" w:w="9400"/>
        <w:tblBorders>
          <w:top w:val="single" w:color="DDD6C7" w:sz="4"/>
          <w:left w:val="single" w:color="DDD6C7" w:sz="4"/>
          <w:bottom w:val="single" w:color="DDD6C7" w:sz="4"/>
          <w:right w:val="single" w:color="DDD6C7" w:sz="4"/>
          <w:insideH w:val="single" w:color="DDD6C7" w:sz="4"/>
          <w:insideV w:val="single" w:color="DDD6C7" w:sz="4"/>
        </w:tblBorders>
      </w:tblPr>
      <w:tblGrid>
        <w:gridCol w:w="2300"/>
        <w:gridCol w:w="5300"/>
        <w:gridCol w:w="1800"/>
      </w:tblGrid>
      <w:tr>
        <w:tc>
          <w:tcPr>
            <w:tcW w:type="dxa" w:w="2300"/>
            <w:shd w:fill="F6E6D6" w:val="clear"/>
            <w:tcMar>
              <w:top w:type="dxa" w:w="110"/>
              <w:left w:type="dxa" w:w="120"/>
              <w:bottom w:type="dxa" w:w="110"/>
              <w:right w:type="dxa" w:w="100"/>
            </w:tcMar>
          </w:tcPr>
          <w:p>
            <w:r>
              <w:rPr>
                <w:b/>
                <w:bCs/>
                <w:color w:val="1C1B18"/>
                <w:sz w:val="20"/>
                <w:szCs w:val="20"/>
              </w:rPr>
              <w:t xml:space="preserve">Task</w:t>
            </w:r>
          </w:p>
        </w:tc>
        <w:tc>
          <w:tcPr>
            <w:tcW w:type="dxa" w:w="5300"/>
            <w:shd w:fill="F6E6D6" w:val="clear"/>
            <w:tcMar>
              <w:top w:type="dxa" w:w="110"/>
              <w:left w:type="dxa" w:w="100"/>
              <w:bottom w:type="dxa" w:w="110"/>
              <w:right w:type="dxa" w:w="100"/>
            </w:tcMar>
          </w:tcPr>
          <w:p>
            <w:r>
              <w:rPr>
                <w:b/>
                <w:bCs/>
                <w:color w:val="1C1B18"/>
                <w:sz w:val="20"/>
                <w:szCs w:val="20"/>
              </w:rPr>
              <w:t xml:space="preserve">Deliverable</w:t>
            </w:r>
          </w:p>
        </w:tc>
        <w:tc>
          <w:tcPr>
            <w:tcW w:type="dxa" w:w="1800"/>
            <w:shd w:fill="F6E6D6" w:val="clear"/>
            <w:tcMar>
              <w:top w:type="dxa" w:w="110"/>
              <w:left w:type="dxa" w:w="100"/>
              <w:bottom w:type="dxa" w:w="110"/>
              <w:right w:type="dxa" w:w="120"/>
            </w:tcMar>
          </w:tcPr>
          <w:p>
            <w:r>
              <w:rPr>
                <w:b/>
                <w:bCs/>
                <w:color w:val="1C1B18"/>
                <w:sz w:val="20"/>
                <w:szCs w:val="20"/>
              </w:rPr>
              <w:t xml:space="preserve">Est. time</w:t>
            </w:r>
          </w:p>
        </w:tc>
      </w:tr>
      <w:tr>
        <w:tc>
          <w:tcPr>
            <w:tcW w:type="dxa" w:w="2300"/>
            <w:tcMar>
              <w:top w:type="dxa" w:w="110"/>
              <w:left w:type="dxa" w:w="120"/>
              <w:bottom w:type="dxa" w:w="110"/>
              <w:right w:type="dxa" w:w="100"/>
            </w:tcMar>
          </w:tcPr>
          <w:p>
            <w:r>
              <w:rPr>
                <w:b w:val="false"/>
                <w:bCs w:val="false"/>
                <w:color w:val="1C1B18"/>
                <w:sz w:val="20"/>
                <w:szCs w:val="20"/>
              </w:rPr>
              <w:t xml:space="preserve">Codebase &amp; handoff review</w:t>
            </w:r>
          </w:p>
        </w:tc>
        <w:tc>
          <w:tcPr>
            <w:tcW w:type="dxa" w:w="5300"/>
            <w:tcMar>
              <w:top w:type="dxa" w:w="110"/>
              <w:left w:type="dxa" w:w="100"/>
              <w:bottom w:type="dxa" w:w="110"/>
              <w:right w:type="dxa" w:w="100"/>
            </w:tcMar>
          </w:tcPr>
          <w:p>
            <w:r>
              <w:rPr>
                <w:b w:val="false"/>
                <w:bCs w:val="false"/>
                <w:color w:val="1C1B18"/>
                <w:sz w:val="20"/>
                <w:szCs w:val="20"/>
              </w:rPr>
              <w:t xml:space="preserve">Freelancer confirms understanding of the backend, mobile app, and the accompanying handoff notes (known gaps, deliberate scope decisions, and the reasoning behind them)</w:t>
            </w:r>
          </w:p>
        </w:tc>
        <w:tc>
          <w:tcPr>
            <w:tcW w:type="dxa" w:w="1800"/>
            <w:tcMar>
              <w:top w:type="dxa" w:w="110"/>
              <w:left w:type="dxa" w:w="100"/>
              <w:bottom w:type="dxa" w:w="110"/>
              <w:right w:type="dxa" w:w="120"/>
            </w:tcMar>
          </w:tcPr>
          <w:p>
            <w:r>
              <w:rPr>
                <w:b w:val="false"/>
                <w:bCs w:val="false"/>
                <w:color w:val="1C1B18"/>
                <w:sz w:val="20"/>
                <w:szCs w:val="20"/>
              </w:rPr>
              <w:t xml:space="preserve">1–2 days</w:t>
            </w:r>
          </w:p>
        </w:tc>
      </w:tr>
      <w:tr>
        <w:tc>
          <w:tcPr>
            <w:tcW w:type="dxa" w:w="2300"/>
            <w:tcMar>
              <w:top w:type="dxa" w:w="110"/>
              <w:left w:type="dxa" w:w="120"/>
              <w:bottom w:type="dxa" w:w="110"/>
              <w:right w:type="dxa" w:w="100"/>
            </w:tcMar>
          </w:tcPr>
          <w:p>
            <w:r>
              <w:rPr>
                <w:b w:val="false"/>
                <w:bCs w:val="false"/>
                <w:color w:val="1C1B18"/>
                <w:sz w:val="20"/>
                <w:szCs w:val="20"/>
              </w:rPr>
              <w:t xml:space="preserve">Environment setup</w:t>
            </w:r>
          </w:p>
        </w:tc>
        <w:tc>
          <w:tcPr>
            <w:tcW w:type="dxa" w:w="5300"/>
            <w:tcMar>
              <w:top w:type="dxa" w:w="110"/>
              <w:left w:type="dxa" w:w="100"/>
              <w:bottom w:type="dxa" w:w="110"/>
              <w:right w:type="dxa" w:w="100"/>
            </w:tcMar>
          </w:tcPr>
          <w:p>
            <w:r>
              <w:rPr>
                <w:b w:val="false"/>
                <w:bCs w:val="false"/>
                <w:color w:val="1C1B18"/>
                <w:sz w:val="20"/>
                <w:szCs w:val="20"/>
              </w:rPr>
              <w:t xml:space="preserve">Backend deployed to a managed host (e.g. Railway/Render) with production PostgreSQL; environment variables and secrets configured</w:t>
            </w:r>
          </w:p>
        </w:tc>
        <w:tc>
          <w:tcPr>
            <w:tcW w:type="dxa" w:w="1800"/>
            <w:tcMar>
              <w:top w:type="dxa" w:w="110"/>
              <w:left w:type="dxa" w:w="100"/>
              <w:bottom w:type="dxa" w:w="110"/>
              <w:right w:type="dxa" w:w="120"/>
            </w:tcMar>
          </w:tcPr>
          <w:p>
            <w:r>
              <w:rPr>
                <w:b w:val="false"/>
                <w:bCs w:val="false"/>
                <w:color w:val="1C1B18"/>
                <w:sz w:val="20"/>
                <w:szCs w:val="20"/>
              </w:rPr>
              <w:t xml:space="preserve">1–2 days</w:t>
            </w:r>
          </w:p>
        </w:tc>
      </w:tr>
      <w:tr>
        <w:tc>
          <w:tcPr>
            <w:tcW w:type="dxa" w:w="2300"/>
            <w:tcMar>
              <w:top w:type="dxa" w:w="110"/>
              <w:left w:type="dxa" w:w="120"/>
              <w:bottom w:type="dxa" w:w="110"/>
              <w:right w:type="dxa" w:w="100"/>
            </w:tcMar>
          </w:tcPr>
          <w:p>
            <w:r>
              <w:rPr>
                <w:b w:val="false"/>
                <w:bCs w:val="false"/>
                <w:color w:val="1C1B18"/>
                <w:sz w:val="20"/>
                <w:szCs w:val="20"/>
              </w:rPr>
              <w:t xml:space="preserve">First-ever database migration</w:t>
            </w:r>
          </w:p>
        </w:tc>
        <w:tc>
          <w:tcPr>
            <w:tcW w:type="dxa" w:w="5300"/>
            <w:tcMar>
              <w:top w:type="dxa" w:w="110"/>
              <w:left w:type="dxa" w:w="100"/>
              <w:bottom w:type="dxa" w:w="110"/>
              <w:right w:type="dxa" w:w="100"/>
            </w:tcMar>
          </w:tcPr>
          <w:p>
            <w:r>
              <w:rPr>
                <w:b w:val="false"/>
                <w:bCs w:val="false"/>
                <w:color w:val="1C1B18"/>
                <w:sz w:val="20"/>
                <w:szCs w:val="20"/>
              </w:rPr>
              <w:t xml:space="preserve">Prisma migration run against a real database for the first time — the schema has never been executed anywhere; this is the actual first test of its correctness, seed data loaded</w:t>
            </w:r>
          </w:p>
        </w:tc>
        <w:tc>
          <w:tcPr>
            <w:tcW w:type="dxa" w:w="1800"/>
            <w:tcMar>
              <w:top w:type="dxa" w:w="110"/>
              <w:left w:type="dxa" w:w="100"/>
              <w:bottom w:type="dxa" w:w="110"/>
              <w:right w:type="dxa" w:w="120"/>
            </w:tcMar>
          </w:tcPr>
          <w:p>
            <w:r>
              <w:rPr>
                <w:b w:val="false"/>
                <w:bCs w:val="false"/>
                <w:color w:val="1C1B18"/>
                <w:sz w:val="20"/>
                <w:szCs w:val="20"/>
              </w:rPr>
              <w:t xml:space="preserve">0.5–1 day</w:t>
            </w:r>
          </w:p>
        </w:tc>
      </w:tr>
      <w:tr>
        <w:tc>
          <w:tcPr>
            <w:tcW w:type="dxa" w:w="2300"/>
            <w:tcMar>
              <w:top w:type="dxa" w:w="110"/>
              <w:left w:type="dxa" w:w="120"/>
              <w:bottom w:type="dxa" w:w="110"/>
              <w:right w:type="dxa" w:w="100"/>
            </w:tcMar>
          </w:tcPr>
          <w:p>
            <w:r>
              <w:rPr>
                <w:b w:val="false"/>
                <w:bCs w:val="false"/>
                <w:color w:val="1C1B18"/>
                <w:sz w:val="20"/>
                <w:szCs w:val="20"/>
              </w:rPr>
              <w:t xml:space="preserve">Paystack verification</w:t>
            </w:r>
          </w:p>
        </w:tc>
        <w:tc>
          <w:tcPr>
            <w:tcW w:type="dxa" w:w="5300"/>
            <w:tcMar>
              <w:top w:type="dxa" w:w="110"/>
              <w:left w:type="dxa" w:w="100"/>
              <w:bottom w:type="dxa" w:w="110"/>
              <w:right w:type="dxa" w:w="100"/>
            </w:tcMar>
          </w:tcPr>
          <w:p>
            <w:r>
              <w:rPr>
                <w:b w:val="false"/>
                <w:bCs w:val="false"/>
                <w:color w:val="1C1B18"/>
                <w:sz w:val="20"/>
                <w:szCs w:val="20"/>
              </w:rPr>
              <w:t xml:space="preserve">Real test-mode transaction run end-to-end: checkout → webhook fires → order becomes visible to vendor → refund path tested on a cancellation</w:t>
            </w:r>
          </w:p>
        </w:tc>
        <w:tc>
          <w:tcPr>
            <w:tcW w:type="dxa" w:w="1800"/>
            <w:tcMar>
              <w:top w:type="dxa" w:w="110"/>
              <w:left w:type="dxa" w:w="100"/>
              <w:bottom w:type="dxa" w:w="110"/>
              <w:right w:type="dxa" w:w="120"/>
            </w:tcMar>
          </w:tcPr>
          <w:p>
            <w:r>
              <w:rPr>
                <w:b w:val="false"/>
                <w:bCs w:val="false"/>
                <w:color w:val="1C1B18"/>
                <w:sz w:val="20"/>
                <w:szCs w:val="20"/>
              </w:rPr>
              <w:t xml:space="preserve">1 day</w:t>
            </w:r>
          </w:p>
        </w:tc>
      </w:tr>
      <w:tr>
        <w:tc>
          <w:tcPr>
            <w:tcW w:type="dxa" w:w="2300"/>
            <w:tcMar>
              <w:top w:type="dxa" w:w="110"/>
              <w:left w:type="dxa" w:w="120"/>
              <w:bottom w:type="dxa" w:w="110"/>
              <w:right w:type="dxa" w:w="100"/>
            </w:tcMar>
          </w:tcPr>
          <w:p>
            <w:r>
              <w:rPr>
                <w:b w:val="false"/>
                <w:bCs w:val="false"/>
                <w:color w:val="1C1B18"/>
                <w:sz w:val="20"/>
                <w:szCs w:val="20"/>
              </w:rPr>
              <w:t xml:space="preserve">Push notification verification</w:t>
            </w:r>
          </w:p>
        </w:tc>
        <w:tc>
          <w:tcPr>
            <w:tcW w:type="dxa" w:w="5300"/>
            <w:tcMar>
              <w:top w:type="dxa" w:w="110"/>
              <w:left w:type="dxa" w:w="100"/>
              <w:bottom w:type="dxa" w:w="110"/>
              <w:right w:type="dxa" w:w="100"/>
            </w:tcMar>
          </w:tcPr>
          <w:p>
            <w:r>
              <w:rPr>
                <w:b w:val="false"/>
                <w:bCs w:val="false"/>
                <w:color w:val="1C1B18"/>
                <w:sz w:val="20"/>
                <w:szCs w:val="20"/>
              </w:rPr>
              <w:t xml:space="preserve">Real Expo push credentials (FCM/APNs) configured; dispute, new-order, and payment-confirmed alerts confirmed landing on real devices</w:t>
            </w:r>
          </w:p>
        </w:tc>
        <w:tc>
          <w:tcPr>
            <w:tcW w:type="dxa" w:w="1800"/>
            <w:tcMar>
              <w:top w:type="dxa" w:w="110"/>
              <w:left w:type="dxa" w:w="100"/>
              <w:bottom w:type="dxa" w:w="110"/>
              <w:right w:type="dxa" w:w="120"/>
            </w:tcMar>
          </w:tcPr>
          <w:p>
            <w:r>
              <w:rPr>
                <w:b w:val="false"/>
                <w:bCs w:val="false"/>
                <w:color w:val="1C1B18"/>
                <w:sz w:val="20"/>
                <w:szCs w:val="20"/>
              </w:rPr>
              <w:t xml:space="preserve">0.5–1 day</w:t>
            </w:r>
          </w:p>
        </w:tc>
      </w:tr>
      <w:tr>
        <w:tc>
          <w:tcPr>
            <w:tcW w:type="dxa" w:w="2300"/>
            <w:tcMar>
              <w:top w:type="dxa" w:w="110"/>
              <w:left w:type="dxa" w:w="120"/>
              <w:bottom w:type="dxa" w:w="110"/>
              <w:right w:type="dxa" w:w="100"/>
            </w:tcMar>
          </w:tcPr>
          <w:p>
            <w:r>
              <w:rPr>
                <w:b w:val="false"/>
                <w:bCs w:val="false"/>
                <w:color w:val="1C1B18"/>
                <w:sz w:val="20"/>
                <w:szCs w:val="20"/>
              </w:rPr>
              <w:t xml:space="preserve">Security closeout</w:t>
            </w:r>
          </w:p>
        </w:tc>
        <w:tc>
          <w:tcPr>
            <w:tcW w:type="dxa" w:w="5300"/>
            <w:tcMar>
              <w:top w:type="dxa" w:w="110"/>
              <w:left w:type="dxa" w:w="100"/>
              <w:bottom w:type="dxa" w:w="110"/>
              <w:right w:type="dxa" w:w="100"/>
            </w:tcMar>
          </w:tcPr>
          <w:p>
            <w:r>
              <w:rPr>
                <w:b w:val="false"/>
                <w:bCs w:val="false"/>
                <w:color w:val="1C1B18"/>
                <w:sz w:val="20"/>
                <w:szCs w:val="20"/>
              </w:rPr>
              <w:t xml:space="preserve">Encryption-at-rest implemented for stored identity/verification data (NIN and other ID numbers, currently stored in plain fields); production CORS and secrets hygiene reviewed; confirms App.jsx is never deployed to a public URL (internal reference only, by design)</w:t>
            </w:r>
          </w:p>
        </w:tc>
        <w:tc>
          <w:tcPr>
            <w:tcW w:type="dxa" w:w="1800"/>
            <w:tcMar>
              <w:top w:type="dxa" w:w="110"/>
              <w:left w:type="dxa" w:w="100"/>
              <w:bottom w:type="dxa" w:w="110"/>
              <w:right w:type="dxa" w:w="120"/>
            </w:tcMar>
          </w:tcPr>
          <w:p>
            <w:r>
              <w:rPr>
                <w:b w:val="false"/>
                <w:bCs w:val="false"/>
                <w:color w:val="1C1B18"/>
                <w:sz w:val="20"/>
                <w:szCs w:val="20"/>
              </w:rPr>
              <w:t xml:space="preserve">1.5–2.5 days</w:t>
            </w:r>
          </w:p>
        </w:tc>
      </w:tr>
      <w:tr>
        <w:tc>
          <w:tcPr>
            <w:tcW w:type="dxa" w:w="2300"/>
            <w:tcMar>
              <w:top w:type="dxa" w:w="110"/>
              <w:left w:type="dxa" w:w="120"/>
              <w:bottom w:type="dxa" w:w="110"/>
              <w:right w:type="dxa" w:w="100"/>
            </w:tcMar>
          </w:tcPr>
          <w:p>
            <w:r>
              <w:rPr>
                <w:b w:val="false"/>
                <w:bCs w:val="false"/>
                <w:color w:val="1C1B18"/>
                <w:sz w:val="20"/>
                <w:szCs w:val="20"/>
              </w:rPr>
              <w:t xml:space="preserve">End-to-end testing, all five roles</w:t>
            </w:r>
          </w:p>
        </w:tc>
        <w:tc>
          <w:tcPr>
            <w:tcW w:type="dxa" w:w="5300"/>
            <w:tcMar>
              <w:top w:type="dxa" w:w="110"/>
              <w:left w:type="dxa" w:w="100"/>
              <w:bottom w:type="dxa" w:w="110"/>
              <w:right w:type="dxa" w:w="100"/>
            </w:tcMar>
          </w:tcPr>
          <w:p>
            <w:r>
              <w:rPr>
                <w:b w:val="false"/>
                <w:bCs w:val="false"/>
                <w:color w:val="1C1B18"/>
                <w:sz w:val="20"/>
                <w:szCs w:val="20"/>
              </w:rPr>
              <w:t xml:space="preserve">Full order lifecycle — browse, checkout, payment, vendor accept/decline, rider claim/deliver, review — tested on real iOS and Android devices against the live backend; bugs found in real usage fixed</w:t>
            </w:r>
          </w:p>
        </w:tc>
        <w:tc>
          <w:tcPr>
            <w:tcW w:type="dxa" w:w="1800"/>
            <w:tcMar>
              <w:top w:type="dxa" w:w="110"/>
              <w:left w:type="dxa" w:w="100"/>
              <w:bottom w:type="dxa" w:w="110"/>
              <w:right w:type="dxa" w:w="120"/>
            </w:tcMar>
          </w:tcPr>
          <w:p>
            <w:r>
              <w:rPr>
                <w:b w:val="false"/>
                <w:bCs w:val="false"/>
                <w:color w:val="1C1B18"/>
                <w:sz w:val="20"/>
                <w:szCs w:val="20"/>
              </w:rPr>
              <w:t xml:space="preserve">3–5 days</w:t>
            </w:r>
          </w:p>
        </w:tc>
      </w:tr>
      <w:tr>
        <w:tc>
          <w:tcPr>
            <w:tcW w:type="dxa" w:w="2300"/>
            <w:tcMar>
              <w:top w:type="dxa" w:w="110"/>
              <w:left w:type="dxa" w:w="120"/>
              <w:bottom w:type="dxa" w:w="110"/>
              <w:right w:type="dxa" w:w="100"/>
            </w:tcMar>
          </w:tcPr>
          <w:p>
            <w:r>
              <w:rPr>
                <w:b w:val="false"/>
                <w:bCs w:val="false"/>
                <w:color w:val="1C1B18"/>
                <w:sz w:val="20"/>
                <w:szCs w:val="20"/>
              </w:rPr>
              <w:t xml:space="preserve">Baseline automated test coverage</w:t>
            </w:r>
          </w:p>
        </w:tc>
        <w:tc>
          <w:tcPr>
            <w:tcW w:type="dxa" w:w="5300"/>
            <w:tcMar>
              <w:top w:type="dxa" w:w="110"/>
              <w:left w:type="dxa" w:w="100"/>
              <w:bottom w:type="dxa" w:w="110"/>
              <w:right w:type="dxa" w:w="100"/>
            </w:tcMar>
          </w:tcPr>
          <w:p>
            <w:r>
              <w:rPr>
                <w:b w:val="false"/>
                <w:bCs w:val="false"/>
                <w:color w:val="1C1B18"/>
                <w:sz w:val="20"/>
                <w:szCs w:val="20"/>
              </w:rPr>
              <w:t xml:space="preserve">Test coverage for the critical paths that have no safety net today: authentication, payment-first enforcement, and the core order lifecycle</w:t>
            </w:r>
          </w:p>
        </w:tc>
        <w:tc>
          <w:tcPr>
            <w:tcW w:type="dxa" w:w="1800"/>
            <w:tcMar>
              <w:top w:type="dxa" w:w="110"/>
              <w:left w:type="dxa" w:w="100"/>
              <w:bottom w:type="dxa" w:w="110"/>
              <w:right w:type="dxa" w:w="120"/>
            </w:tcMar>
          </w:tcPr>
          <w:p>
            <w:r>
              <w:rPr>
                <w:b w:val="false"/>
                <w:bCs w:val="false"/>
                <w:color w:val="1C1B18"/>
                <w:sz w:val="20"/>
                <w:szCs w:val="20"/>
              </w:rPr>
              <w:t xml:space="preserve">3–5 days</w:t>
            </w:r>
          </w:p>
        </w:tc>
      </w:tr>
      <w:tr>
        <w:tc>
          <w:tcPr>
            <w:tcW w:type="dxa" w:w="2300"/>
            <w:tcMar>
              <w:top w:type="dxa" w:w="110"/>
              <w:left w:type="dxa" w:w="120"/>
              <w:bottom w:type="dxa" w:w="110"/>
              <w:right w:type="dxa" w:w="100"/>
            </w:tcMar>
          </w:tcPr>
          <w:p>
            <w:r>
              <w:rPr>
                <w:b w:val="false"/>
                <w:bCs w:val="false"/>
                <w:color w:val="1C1B18"/>
                <w:sz w:val="20"/>
                <w:szCs w:val="20"/>
              </w:rPr>
              <w:t xml:space="preserve">Pilot distribution</w:t>
            </w:r>
          </w:p>
        </w:tc>
        <w:tc>
          <w:tcPr>
            <w:tcW w:type="dxa" w:w="5300"/>
            <w:tcMar>
              <w:top w:type="dxa" w:w="110"/>
              <w:left w:type="dxa" w:w="100"/>
              <w:bottom w:type="dxa" w:w="110"/>
              <w:right w:type="dxa" w:w="100"/>
            </w:tcMar>
          </w:tcPr>
          <w:p>
            <w:r>
              <w:rPr>
                <w:b w:val="false"/>
                <w:bCs w:val="false"/>
                <w:color w:val="1C1B18"/>
                <w:sz w:val="20"/>
                <w:szCs w:val="20"/>
              </w:rPr>
              <w:t xml:space="preserve">iOS build shared via TestFlight; Android build shared as an installable APK or Expo internal link</w:t>
            </w:r>
          </w:p>
        </w:tc>
        <w:tc>
          <w:tcPr>
            <w:tcW w:type="dxa" w:w="1800"/>
            <w:tcMar>
              <w:top w:type="dxa" w:w="110"/>
              <w:left w:type="dxa" w:w="100"/>
              <w:bottom w:type="dxa" w:w="110"/>
              <w:right w:type="dxa" w:w="120"/>
            </w:tcMar>
          </w:tcPr>
          <w:p>
            <w:r>
              <w:rPr>
                <w:b w:val="false"/>
                <w:bCs w:val="false"/>
                <w:color w:val="1C1B18"/>
                <w:sz w:val="20"/>
                <w:szCs w:val="20"/>
              </w:rPr>
              <w:t xml:space="preserve">0.5–1 day</w:t>
            </w:r>
          </w:p>
        </w:tc>
      </w:tr>
    </w:tbl>
    <w:p>
      <w:pPr>
        <w:spacing w:after="260" w:before="260"/>
      </w:pPr>
      <w:r>
        <w:rPr>
          <w:b/>
          <w:bCs/>
          <w:color w:val="1C1B18"/>
          <w:sz w:val="21"/>
          <w:szCs w:val="21"/>
        </w:rPr>
        <w:t xml:space="preserve">Total estimated effort: 13–21 working days. Expected calendar time: 3–4 weeks, depending on freelancer availability.</w:t>
      </w:r>
    </w:p>
    <w:p>
      <w:pPr>
        <w:pStyle w:val="Heading1"/>
        <w:pBdr>
          <w:bottom w:val="single" w:color="DDD6C7" w:sz="6"/>
        </w:pBdr>
        <w:spacing w:after="140" w:before="380"/>
      </w:pPr>
      <w:r>
        <w:rPr>
          <w:b/>
          <w:bCs/>
          <w:color w:val="1C1B18"/>
          <w:sz w:val="25"/>
          <w:szCs w:val="25"/>
        </w:rPr>
        <w:t xml:space="preserve">4. Explicitly Deferred (Not Part of This Engagement)</w:t>
      </w:r>
    </w:p>
    <w:p>
      <w:pPr>
        <w:spacing w:after="170" w:line="280"/>
      </w:pPr>
      <w:r>
        <w:rPr>
          <w:color w:val="1C1B18"/>
          <w:sz w:val="21"/>
          <w:szCs w:val="21"/>
        </w:rPr>
        <w:t xml:space="preserve">These are known, named gaps against the reference application — not oversights. Building them now would expand this from a launch-readiness job back into a feature-development job, so they're intentionally held for a follow-on engagement once the pilot has real usage to learn from:</w:t>
      </w:r>
    </w:p>
    <w:p>
      <w:pPr>
        <w:pStyle w:val="ListParagraph"/>
        <w:numPr>
          <w:ilvl w:val="0"/>
          <w:numId w:val="2"/>
        </w:numPr>
        <w:spacing w:after="110" w:line="270"/>
      </w:pPr>
      <w:r>
        <w:rPr>
          <w:color w:val="1C1B18"/>
          <w:sz w:val="21"/>
          <w:szCs w:val="21"/>
        </w:rPr>
        <w:t xml:space="preserve">Favorites (heart-toggle vendors) and Reorder in the mobile app — Reorder exists in the reference application only</w:t>
      </w:r>
    </w:p>
    <w:p>
      <w:pPr>
        <w:pStyle w:val="ListParagraph"/>
        <w:numPr>
          <w:ilvl w:val="0"/>
          <w:numId w:val="2"/>
        </w:numPr>
        <w:spacing w:after="110" w:line="270"/>
      </w:pPr>
      <w:r>
        <w:rPr>
          <w:color w:val="1C1B18"/>
          <w:sz w:val="21"/>
          <w:szCs w:val="21"/>
        </w:rPr>
        <w:t xml:space="preserve">A rider's ability to un-claim a delivery they accepted by mistake (currently only Admin can release it back to the pool)</w:t>
      </w:r>
    </w:p>
    <w:p>
      <w:pPr>
        <w:pStyle w:val="ListParagraph"/>
        <w:numPr>
          <w:ilvl w:val="0"/>
          <w:numId w:val="2"/>
        </w:numPr>
        <w:spacing w:after="110" w:line="270"/>
      </w:pPr>
      <w:r>
        <w:rPr>
          <w:color w:val="1C1B18"/>
          <w:sz w:val="21"/>
          <w:szCs w:val="21"/>
        </w:rPr>
        <w:t xml:space="preserve">In-app messaging between customer/vendor/rider beyond the existing tap-to-call</w:t>
      </w:r>
    </w:p>
    <w:p>
      <w:pPr>
        <w:pStyle w:val="ListParagraph"/>
        <w:numPr>
          <w:ilvl w:val="0"/>
          <w:numId w:val="2"/>
        </w:numPr>
        <w:spacing w:after="110" w:line="270"/>
      </w:pPr>
      <w:r>
        <w:rPr>
          <w:color w:val="1C1B18"/>
          <w:sz w:val="21"/>
          <w:szCs w:val="21"/>
        </w:rPr>
        <w:t xml:space="preserve">Rider self-service profile editing — currently Admin edits on the rider's behalf, a deliberate decision made mid-project, not a gap</w:t>
      </w:r>
    </w:p>
    <w:p>
      <w:pPr>
        <w:pStyle w:val="ListParagraph"/>
        <w:numPr>
          <w:ilvl w:val="0"/>
          <w:numId w:val="2"/>
        </w:numPr>
        <w:spacing w:after="110" w:line="270"/>
      </w:pPr>
      <w:r>
        <w:rPr>
          <w:color w:val="1C1B18"/>
          <w:sz w:val="21"/>
          <w:szCs w:val="21"/>
        </w:rPr>
        <w:t xml:space="preserve">Vendor's own dispute view does not yet have the same full item/customer/rider detail that Admin's view has</w:t>
      </w:r>
    </w:p>
    <w:p>
      <w:pPr>
        <w:pStyle w:val="ListParagraph"/>
        <w:numPr>
          <w:ilvl w:val="0"/>
          <w:numId w:val="2"/>
        </w:numPr>
        <w:spacing w:after="110" w:line="270"/>
      </w:pPr>
      <w:r>
        <w:rPr>
          <w:color w:val="1C1B18"/>
          <w:sz w:val="21"/>
          <w:szCs w:val="21"/>
        </w:rPr>
        <w:t xml:space="preserve">Live GPS tracking (status pings only)</w:t>
      </w:r>
    </w:p>
    <w:p>
      <w:pPr>
        <w:pStyle w:val="ListParagraph"/>
        <w:numPr>
          <w:ilvl w:val="0"/>
          <w:numId w:val="2"/>
        </w:numPr>
        <w:spacing w:after="110" w:line="270"/>
      </w:pPr>
      <w:r>
        <w:rPr>
          <w:color w:val="1C1B18"/>
          <w:sz w:val="21"/>
          <w:szCs w:val="21"/>
        </w:rPr>
        <w:t xml:space="preserve">Customer tiers/badges and revenue-by-period analytics dashboards — simplified down to single current-period figures as a deliberate scope decision, not left unbuilt by oversight</w:t>
      </w:r>
    </w:p>
    <w:p>
      <w:pPr>
        <w:pStyle w:val="Heading1"/>
        <w:pBdr>
          <w:bottom w:val="single" w:color="DDD6C7" w:sz="6"/>
        </w:pBdr>
        <w:spacing w:after="140" w:before="380"/>
      </w:pPr>
      <w:r>
        <w:rPr>
          <w:b/>
          <w:bCs/>
          <w:color w:val="1C1B18"/>
          <w:sz w:val="25"/>
          <w:szCs w:val="25"/>
        </w:rPr>
        <w:t xml:space="preserve">5. Out of Scope</w:t>
      </w:r>
    </w:p>
    <w:p>
      <w:pPr>
        <w:pStyle w:val="ListParagraph"/>
        <w:numPr>
          <w:ilvl w:val="0"/>
          <w:numId w:val="2"/>
        </w:numPr>
        <w:spacing w:after="110" w:line="270"/>
      </w:pPr>
      <w:r>
        <w:rPr>
          <w:color w:val="1C1B18"/>
          <w:sz w:val="21"/>
          <w:szCs w:val="21"/>
        </w:rPr>
        <w:t xml:space="preserve">App Store / Play Store submission and review (separate follow-on engagement)</w:t>
      </w:r>
    </w:p>
    <w:p>
      <w:pPr>
        <w:pStyle w:val="ListParagraph"/>
        <w:numPr>
          <w:ilvl w:val="0"/>
          <w:numId w:val="2"/>
        </w:numPr>
        <w:spacing w:after="110" w:line="270"/>
      </w:pPr>
      <w:r>
        <w:rPr>
          <w:color w:val="1C1B18"/>
          <w:sz w:val="21"/>
          <w:szCs w:val="21"/>
        </w:rPr>
        <w:t xml:space="preserve">New feature development beyond Section 3 (see Section 4 for what's deferred and why)</w:t>
      </w:r>
    </w:p>
    <w:p>
      <w:pPr>
        <w:pStyle w:val="ListParagraph"/>
        <w:numPr>
          <w:ilvl w:val="0"/>
          <w:numId w:val="2"/>
        </w:numPr>
        <w:spacing w:after="110" w:line="270"/>
      </w:pPr>
      <w:r>
        <w:rPr>
          <w:color w:val="1C1B18"/>
          <w:sz w:val="21"/>
          <w:szCs w:val="21"/>
        </w:rPr>
        <w:t xml:space="preserve">Design changes to the app's UI/UX</w:t>
      </w:r>
    </w:p>
    <w:p>
      <w:pPr>
        <w:pStyle w:val="ListParagraph"/>
        <w:numPr>
          <w:ilvl w:val="0"/>
          <w:numId w:val="2"/>
        </w:numPr>
        <w:spacing w:after="110" w:line="270"/>
      </w:pPr>
      <w:r>
        <w:rPr>
          <w:color w:val="1C1B18"/>
          <w:sz w:val="21"/>
          <w:szCs w:val="21"/>
        </w:rPr>
        <w:t xml:space="preserve">Legal and compliance documents — privacy policy, terms of service, NDPR compliance review — require a lawyer, not a developer; flagged here so it isn't assumed to be part of this scope</w:t>
      </w:r>
    </w:p>
    <w:p>
      <w:pPr>
        <w:pStyle w:val="ListParagraph"/>
        <w:numPr>
          <w:ilvl w:val="0"/>
          <w:numId w:val="2"/>
        </w:numPr>
        <w:spacing w:after="110" w:line="270"/>
      </w:pPr>
      <w:r>
        <w:rPr>
          <w:color w:val="1C1B18"/>
          <w:sz w:val="21"/>
          <w:szCs w:val="21"/>
        </w:rPr>
        <w:t xml:space="preserve">Ongoing maintenance or support after handoff (to be scoped separately if needed)</w:t>
      </w:r>
    </w:p>
    <w:p>
      <w:pPr>
        <w:pStyle w:val="Heading1"/>
        <w:pBdr>
          <w:bottom w:val="single" w:color="DDD6C7" w:sz="6"/>
        </w:pBdr>
        <w:spacing w:after="140" w:before="380"/>
      </w:pPr>
      <w:r>
        <w:rPr>
          <w:b/>
          <w:bCs/>
          <w:color w:val="1C1B18"/>
          <w:sz w:val="25"/>
          <w:szCs w:val="25"/>
        </w:rPr>
        <w:t xml:space="preserve">6. Next Steps</w:t>
      </w:r>
    </w:p>
    <w:p>
      <w:pPr>
        <w:spacing w:after="170" w:line="280"/>
      </w:pPr>
      <w:r>
        <w:rPr>
          <w:color w:val="1C1B18"/>
          <w:sz w:val="21"/>
          <w:szCs w:val="21"/>
        </w:rPr>
        <w:t xml:space="preserve">Interested freelancers should reply with: (1) confirmation of experience with the stack above, ideally including a prior Paystack or comparable African payments integration; (2) a proposed milestone structure and fixed-price quote against Section 3; (3) availability and estimated start date.</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C7" w:sz="4"/>
      </w:pBdr>
      <w:spacing w:before="120"/>
      <w:jc w:val="center"/>
    </w:pPr>
    <w:r>
      <w:rPr>
        <w:color w:val="6E6A5E"/>
        <w:sz w:val="16"/>
        <w:szCs w:val="16"/>
      </w:rPr>
      <w:t xml:space="preserve">INMINUTES  ·  ROUTE  ·  Scope of Work  ·  </w:t>
    </w:r>
    <w:r>
      <w:rPr>
        <w:color w:val="6E6A5E"/>
        <w:sz w:val="16"/>
        <w:szCs w:val="16"/>
      </w:rPr>
      <w:t xml:space="preserve">Page </w:t>
    </w:r>
    <w:r>
      <w:rPr>
        <w:color w:val="6E6A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D97F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2026-08-13T20:21:45.781Z</dcterms:created>
  <dcterms:modified xsi:type="dcterms:W3CDTF">2026-08-13T20:21:45.798Z</dcterms:modified>
</cp:coreProperties>
</file>

<file path=docProps/custom.xml><?xml version="1.0" encoding="utf-8"?>
<Properties xmlns="http://schemas.openxmlformats.org/officeDocument/2006/custom-properties" xmlns:vt="http://schemas.openxmlformats.org/officeDocument/2006/docPropsVTypes"/>
</file>