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9C7A3C"/>
          <w:sz w:val="20"/>
          <w:caps/>
        </w:rPr>
        <w:t>ISABEL TUNAS · ROTEIRO DE LIVE</w:t>
      </w:r>
    </w:p>
    <w:p>
      <w:pPr>
        <w:spacing w:after="300"/>
      </w:pPr>
      <w:r>
        <w:rPr>
          <w:b/>
          <w:color w:val="2B2118"/>
          <w:sz w:val="40"/>
        </w:rPr>
        <w:t>O cliente de 2026 não compra por impulso: vender pela confiança, não pelo gatilho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600"/>
            <w:shd w:val="clear" w:fill="F2EEE6"/>
          </w:tcPr>
          <w:p>
            <w:r>
              <w:rPr>
                <w:b/>
                <w:color w:val="2B2118"/>
                <w:sz w:val="20"/>
              </w:rPr>
              <w:t>Território</w:t>
            </w:r>
          </w:p>
        </w:tc>
        <w:tc>
          <w:tcPr>
            <w:tcW w:type="dxa" w:w="6640"/>
          </w:tcPr>
          <w:p>
            <w:r>
              <w:rPr>
                <w:sz w:val="20"/>
              </w:rPr>
              <w:t>Construir Princípios</w:t>
            </w:r>
          </w:p>
        </w:tc>
      </w:tr>
      <w:tr>
        <w:tc>
          <w:tcPr>
            <w:tcW w:type="dxa" w:w="2600"/>
            <w:shd w:val="clear" w:fill="F2EEE6"/>
          </w:tcPr>
          <w:p>
            <w:r>
              <w:rPr>
                <w:b/>
                <w:color w:val="2B2118"/>
                <w:sz w:val="20"/>
              </w:rPr>
              <w:t>Etapa do funil</w:t>
            </w:r>
          </w:p>
        </w:tc>
        <w:tc>
          <w:tcPr>
            <w:tcW w:type="dxa" w:w="6640"/>
          </w:tcPr>
          <w:p>
            <w:r>
              <w:rPr>
                <w:sz w:val="20"/>
              </w:rPr>
              <w:t>Meio — Relacionamento</w:t>
            </w:r>
          </w:p>
        </w:tc>
      </w:tr>
      <w:tr>
        <w:tc>
          <w:tcPr>
            <w:tcW w:type="dxa" w:w="2600"/>
            <w:shd w:val="clear" w:fill="F2EEE6"/>
          </w:tcPr>
          <w:p>
            <w:r>
              <w:rPr>
                <w:b/>
                <w:color w:val="2B2118"/>
                <w:sz w:val="20"/>
              </w:rPr>
              <w:t>Emoções-alvo</w:t>
            </w:r>
          </w:p>
        </w:tc>
        <w:tc>
          <w:tcPr>
            <w:tcW w:type="dxa" w:w="6640"/>
          </w:tcPr>
          <w:p>
            <w:r>
              <w:rPr>
                <w:sz w:val="20"/>
              </w:rPr>
              <w:t>Confiança, admiração, pertencimento</w:t>
            </w:r>
          </w:p>
        </w:tc>
      </w:tr>
      <w:tr>
        <w:tc>
          <w:tcPr>
            <w:tcW w:type="dxa" w:w="2600"/>
            <w:shd w:val="clear" w:fill="F2EEE6"/>
          </w:tcPr>
          <w:p>
            <w:r>
              <w:rPr>
                <w:b/>
                <w:color w:val="2B2118"/>
                <w:sz w:val="20"/>
              </w:rPr>
              <w:t>Duração sugerida</w:t>
            </w:r>
          </w:p>
        </w:tc>
        <w:tc>
          <w:tcPr>
            <w:tcW w:type="dxa" w:w="6640"/>
          </w:tcPr>
          <w:p>
            <w:r>
              <w:rPr>
                <w:sz w:val="20"/>
              </w:rPr>
              <w:t>50–60 minutos</w:t>
            </w:r>
          </w:p>
        </w:tc>
      </w:tr>
      <w:tr>
        <w:tc>
          <w:tcPr>
            <w:tcW w:type="dxa" w:w="2600"/>
            <w:shd w:val="clear" w:fill="F2EEE6"/>
          </w:tcPr>
          <w:p>
            <w:r>
              <w:rPr>
                <w:b/>
                <w:color w:val="2B2118"/>
                <w:sz w:val="20"/>
              </w:rPr>
              <w:t>Objetivo</w:t>
            </w:r>
          </w:p>
        </w:tc>
        <w:tc>
          <w:tcPr>
            <w:tcW w:type="dxa" w:w="6640"/>
          </w:tcPr>
          <w:p>
            <w:r>
              <w:rPr>
                <w:sz w:val="20"/>
              </w:rPr>
              <w:t>Levar a audiência a abandonar gatilho de urgência artificial e vender a partir de confiança, coerência e valor real — e dar um passo concreto na Jornada da Construção.</w:t>
            </w:r>
          </w:p>
        </w:tc>
      </w:tr>
      <w:tr>
        <w:tc>
          <w:tcPr>
            <w:tcW w:type="dxa" w:w="2600"/>
            <w:shd w:val="clear" w:fill="F2EEE6"/>
          </w:tcPr>
          <w:p>
            <w:r>
              <w:rPr>
                <w:b/>
                <w:color w:val="2B2118"/>
                <w:sz w:val="20"/>
              </w:rPr>
              <w:t>Tese central</w:t>
            </w:r>
          </w:p>
        </w:tc>
        <w:tc>
          <w:tcPr>
            <w:tcW w:type="dxa" w:w="6640"/>
          </w:tcPr>
          <w:p>
            <w:r>
              <w:rPr>
                <w:sz w:val="20"/>
              </w:rPr>
              <w:t>“Negócios sólidos nascem de princípios sólidos.” + “Autoridade se constrói. Não se declara.”</w:t>
            </w:r>
          </w:p>
        </w:tc>
      </w:tr>
    </w:tbl>
    <w:p/>
    <w:p>
      <w:pPr>
        <w:spacing w:after="160"/>
      </w:pPr>
      <w:r>
        <w:rPr>
          <w:b/>
          <w:color w:val="2B2118"/>
          <w:sz w:val="22"/>
        </w:rPr>
        <w:t xml:space="preserve">Nota de produção: </w:t>
      </w:r>
      <w:r>
        <w:rPr>
          <w:i/>
          <w:color w:val="6B6B6B"/>
          <w:sz w:val="22"/>
        </w:rPr>
        <w:t>o dado de mercado usado na seção de Contexto foi checado nesta execução via busca na web (Sebrae — Guia de Tendências que Moldarão o Consumo em 2026; artigo “5 Tendências de mercado para Pequenos Negócios em 2026”, Sebrae; e NielsenIQ, Consumer Outlook 2026, citada pelo Sebrae como fonte do dado de consumo mais criterioso). A direção do dado — consumidor mais cauteloso, que decide por confiança, valor percebido e transparência — está confirmada em múltiplas publicações do Sebrae de 2026. [incerto: a formulação exata “menos impulso, mais intenção” aparece em conteúdo do Sebrae sobre tendências de consumo 2026, mas varia de redação entre as publicações consultadas — trato-a como síntese da tendência, não como citação literal de um documento único.] Também não foi possível acessar o Instagram (@isabeltunas) nesta execução — não há conector de navegador disponível neste ambiente. A estrutura e as falas abaixo foram construídas a partir do manual da marca (tom de voz, teses, território, funil). Recomendo revisar contra 2–3 lives/reels recentes antes de gravar, para ajustar cadência e maneirismos específicos.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1. Comportamentos de marca a repetir neste roteiro</w:t>
      </w:r>
    </w:p>
    <w:p>
      <w:pPr>
        <w:pStyle w:val="ListBullet"/>
        <w:spacing w:after="80"/>
      </w:pPr>
      <w:r>
        <w:rPr>
          <w:color w:val="1A1A1A"/>
          <w:sz w:val="22"/>
        </w:rPr>
        <w:t>Fala em primeira pessoa, a partir de decisões reais de venda que a Isabel já tomou — nunca ‘especialistas dizem’, sempre ‘foi isso que eu vivi’.</w:t>
      </w:r>
    </w:p>
    <w:p>
      <w:pPr>
        <w:pStyle w:val="ListBullet"/>
        <w:spacing w:after="80"/>
      </w:pPr>
      <w:r>
        <w:rPr>
          <w:color w:val="1A1A1A"/>
          <w:sz w:val="22"/>
        </w:rPr>
        <w:t>Dirige-se direto à câmera como se falasse com uma amiga empresária — sem tom de palco ou de guru de marketing.</w:t>
      </w:r>
    </w:p>
    <w:p>
      <w:pPr>
        <w:pStyle w:val="ListBullet"/>
        <w:spacing w:after="80"/>
      </w:pPr>
      <w:r>
        <w:rPr>
          <w:color w:val="1A1A1A"/>
          <w:sz w:val="22"/>
        </w:rPr>
        <w:t>Abre com pergunta desconfortável sobre a própria prática de vendas, não com estatística fria.</w:t>
      </w:r>
    </w:p>
    <w:p>
      <w:pPr>
        <w:pStyle w:val="ListBullet"/>
        <w:spacing w:after="80"/>
      </w:pPr>
      <w:r>
        <w:rPr>
          <w:color w:val="1A1A1A"/>
          <w:sz w:val="22"/>
        </w:rPr>
        <w:t>Nomeia o dado de mercado, mas devolve rápido para a experiência pessoal — dado é gancho, não é o centro.</w:t>
      </w:r>
    </w:p>
    <w:p>
      <w:pPr>
        <w:pStyle w:val="ListBullet"/>
        <w:spacing w:after="80"/>
      </w:pPr>
      <w:r>
        <w:rPr>
          <w:color w:val="1A1A1A"/>
          <w:sz w:val="22"/>
        </w:rPr>
        <w:t>Interage com o chat pelo nome, faz pausa real para ler respostas.</w:t>
      </w:r>
    </w:p>
    <w:p>
      <w:pPr>
        <w:pStyle w:val="ListBullet"/>
        <w:spacing w:after="80"/>
      </w:pPr>
      <w:r>
        <w:rPr>
          <w:color w:val="1A1A1A"/>
          <w:sz w:val="22"/>
        </w:rPr>
        <w:t>Nunca usa a fé como argumento de venda — fé aparece como fundamento de vida, o convite comercial vem separado e claro.</w:t>
      </w:r>
    </w:p>
    <w:p>
      <w:pPr>
        <w:pStyle w:val="ListBullet"/>
        <w:spacing w:after="80"/>
      </w:pPr>
      <w:r>
        <w:rPr>
          <w:color w:val="1A1A1A"/>
          <w:sz w:val="22"/>
        </w:rPr>
        <w:t>Repete as frases-teste da marca quase literalmente, como assinatura.</w:t>
      </w:r>
    </w:p>
    <w:p>
      <w:pPr>
        <w:pStyle w:val="ListBullet"/>
        <w:spacing w:after="80"/>
      </w:pPr>
      <w:r>
        <w:rPr>
          <w:color w:val="1A1A1A"/>
          <w:sz w:val="22"/>
        </w:rPr>
        <w:t>Fecha com um passo prático e um convite direto — sem pressa, sem urgência artificial (a própria live pratica o que ensina).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2. Abertura — Gancho</w:t>
      </w:r>
    </w:p>
    <w:p>
      <w:pPr>
        <w:spacing w:after="100"/>
      </w:pPr>
      <w:r>
        <w:rPr>
          <w:b/>
          <w:color w:val="9C7A3C"/>
          <w:sz w:val="20"/>
          <w:caps/>
        </w:rPr>
        <w:t>0'00 – 3'00</w:t>
      </w:r>
    </w:p>
    <w:p>
      <w:pPr>
        <w:spacing w:after="140"/>
      </w:pPr>
      <w:r>
        <w:rPr>
          <w:color w:val="1A1A1A"/>
          <w:sz w:val="22"/>
        </w:rPr>
        <w:t>Câmera no rosto, sem introdução longa. Pergunta direta primeiro, contexto depois.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“Eu preciso te fazer uma pergunta desconfortável, porque eu mesma já tive que responder ela: quantas vezes você já vendeu alguma coisa usando um gatilho que, se fosse sincera, você sabia que era um pouco de pressão — e não de verdade?”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“Eu não vou te julgar. Eu já fiz isso. Mas hoje eu quero te mostrar por que isso para de funcionar em 2026 — e o que funciona no lugar.”</w:t>
      </w:r>
    </w:p>
    <w:p>
      <w:pPr>
        <w:spacing w:after="160"/>
      </w:pPr>
      <w:r>
        <w:rPr>
          <w:i/>
          <w:color w:val="6B6B6B"/>
          <w:sz w:val="20"/>
        </w:rPr>
        <w:t>[Peça para quem está assistindo responder rápido no chat: você compra hoje de marca que usa contagem regressiva e ‘últimas vagas’, ou isso já te afasta? Leia 2–3 respostas em voz alta antes de seguir.]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3. Contexto — Por que esse tema agora</w:t>
      </w:r>
    </w:p>
    <w:p>
      <w:pPr>
        <w:spacing w:after="100"/>
      </w:pPr>
      <w:r>
        <w:rPr>
          <w:b/>
          <w:color w:val="9C7A3C"/>
          <w:sz w:val="20"/>
          <w:caps/>
        </w:rPr>
        <w:t>3'00 – 9'00</w:t>
      </w:r>
    </w:p>
    <w:p>
      <w:pPr>
        <w:spacing w:after="140"/>
      </w:pPr>
      <w:r>
        <w:rPr>
          <w:color w:val="1A1A1A"/>
          <w:sz w:val="22"/>
        </w:rPr>
        <w:t>Traga o dado com transparência sobre a fonte — a marca preza por verdade, não por número inflado para causar choque.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“Segundo o Sebrae, no Guia de Tendências que vai moldar o consumo em 2026, o cliente brasileiro ficou mais cauteloso e mais criterioso: ele continua comprando, mas cada compra precisa ‘merecer’ o lugar dela no orçamento. E uma pesquisa da NielsenIQ, citada pelo próprio Sebrae, mostra que esse consumidor aprendeu a lidar com instabilidade e transformou a cautela em hábito permanente — ele avalia valor percebido, transparência e utilidade real antes de decidir.”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“Ou seja: o cliente de 2026 não é mais fácil de convencer com pressa. Ele é mais fácil de convencer com verdade. [incerto: a frase ‘menos impulso, mais intenção’, que resume bem essa tendência, aparece em conteúdo do Sebrae sobre consumo em 2026, mas com redação um pouco diferente entre as publicações — fico com a direção do dado, não com a frase como citação fechada.]”</w:t>
      </w:r>
    </w:p>
    <w:p>
      <w:pPr>
        <w:spacing w:after="140"/>
      </w:pPr>
      <w:r>
        <w:rPr>
          <w:color w:val="1A1A1A"/>
          <w:sz w:val="22"/>
        </w:rPr>
        <w:t>Ponte para a tese da marca: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“E o motivo de eu trazer isso pra você hoje não é te ensinar uma tática nova de vendas. É porque eu acredito nisso: negócios sólidos nascem de princípios sólidos. Se o seu princípio for pressa e pressão, seu negócio vai nascer frágil. Se for verdade e confiança, ele aguenta o tempo.”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4. Bloco 1 — Confiança não é sorte, é construção</w:t>
      </w:r>
    </w:p>
    <w:p>
      <w:pPr>
        <w:spacing w:after="100"/>
      </w:pPr>
      <w:r>
        <w:rPr>
          <w:b/>
          <w:color w:val="9C7A3C"/>
          <w:sz w:val="20"/>
          <w:caps/>
        </w:rPr>
        <w:t>9'00 – 17'00</w:t>
      </w:r>
    </w:p>
    <w:p>
      <w:pPr>
        <w:spacing w:after="140"/>
      </w:pPr>
      <w:r>
        <w:rPr>
          <w:color w:val="1A1A1A"/>
          <w:sz w:val="22"/>
        </w:rPr>
        <w:t>Desenvolva a tese central do território Princípios: confiança não é um efeito de marketing, é resultado acumulado de coerência ao longo do tempo — e é por isso que ela não pode ser fabricada num final de semana de lançamento.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“Enquanto eu tratei confiança como um efeito — algo que eu deveria ‘gerar’ com a copy certa, com o depoimento certo — eu estava sempre correndo atrás dela. O dia que eu entendi que confiança é consequência, não efeito, tudo mudou: ela é o que sobra depois que você cumpriu o que prometeu, dez vezes, cem vezes, sem ninguém estar olhando.”</w:t>
      </w:r>
    </w:p>
    <w:p>
      <w:pPr>
        <w:spacing w:after="160"/>
      </w:pPr>
      <w:r>
        <w:rPr>
          <w:i/>
          <w:color w:val="6B6B6B"/>
          <w:sz w:val="20"/>
        </w:rPr>
        <w:t>[Isabel: compartilhe aqui uma decisão real sua — em algum dos seus negócios ou hotéis — em que você escolheu não usar um gatilho de urgência que funcionaria a curto prazo, porque isso não era coerente com quem você queria ser como empresária. Use um caso concreto, com detalhe real, não genérico.]</w:t>
      </w:r>
    </w:p>
    <w:p>
      <w:pPr>
        <w:spacing w:after="60"/>
      </w:pPr>
      <w:r>
        <w:rPr>
          <w:b/>
          <w:color w:val="2B2118"/>
          <w:sz w:val="22"/>
        </w:rPr>
        <w:t>Frase-âncora para repetir nesse bloco: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“Autoridade se constrói. Não se declara.”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5. Bloco 2 — O gatilho vende uma vez. A confiança vende sempre</w:t>
      </w:r>
    </w:p>
    <w:p>
      <w:pPr>
        <w:spacing w:after="100"/>
      </w:pPr>
      <w:r>
        <w:rPr>
          <w:b/>
          <w:color w:val="9C7A3C"/>
          <w:sz w:val="20"/>
          <w:caps/>
        </w:rPr>
        <w:t>17'00 – 27'00</w:t>
      </w:r>
    </w:p>
    <w:p>
      <w:pPr>
        <w:spacing w:after="140"/>
      </w:pPr>
      <w:r>
        <w:rPr>
          <w:color w:val="1A1A1A"/>
          <w:sz w:val="22"/>
        </w:rPr>
        <w:t>Enfrente o adversário da marca ‘empreendedorismo de palco’: a ideia de que pressão e escassez fabricada são atalhos inofensivos. Mostre o custo real — cliente que se sente manipulado não volta, e não fala bem.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“Eu já vi negócio vender muito numa semana de lançamento cheio de contagem regressiva e ‘restam 3 vagas’ — e murchar no lançamento seguinte, porque o cliente sentiu que foi empurrado, não convencido. Gatilho de urgência funciona uma vez. Confiança é o que faz o mesmo cliente voltar, comprar de novo e ainda te indicar para uma amiga.”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“E isso não é papo de coach de marketing. É matemática de negócio que dura: adquirir cliente novo custa caro. Manter um cliente que confia em você é o ativo mais barato que existe — e ele nunca aparece na sua planilha de custo.”</w:t>
      </w:r>
    </w:p>
    <w:p>
      <w:pPr>
        <w:spacing w:after="160"/>
      </w:pPr>
      <w:r>
        <w:rPr>
          <w:i/>
          <w:color w:val="6B6B6B"/>
          <w:sz w:val="20"/>
        </w:rPr>
        <w:t>[Isabel: se fizer sentido, cite aqui um exemplo real de algo que você vendeu (produto, curso, franquia, quarto de hotel) sem pressão artificial, e como o resultado se sustentou com o tempo — mesmo que tenha vendido menos rápido no primeiro momento.]</w:t>
      </w:r>
    </w:p>
    <w:p>
      <w:pPr>
        <w:spacing w:after="60"/>
      </w:pPr>
      <w:r>
        <w:rPr>
          <w:b/>
          <w:color w:val="2B2118"/>
          <w:sz w:val="22"/>
        </w:rPr>
        <w:t>Frase-âncora para repetir nesse bloco: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“A verdadeira prosperidade alcança todas as áreas da vida.”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6. Bloco 3 — Vender com verdade: o que muda na prática</w:t>
      </w:r>
    </w:p>
    <w:p>
      <w:pPr>
        <w:spacing w:after="100"/>
      </w:pPr>
      <w:r>
        <w:rPr>
          <w:b/>
          <w:color w:val="9C7A3C"/>
          <w:sz w:val="20"/>
          <w:caps/>
        </w:rPr>
        <w:t>27'00 – 37'00</w:t>
      </w:r>
    </w:p>
    <w:p>
      <w:pPr>
        <w:spacing w:after="140"/>
      </w:pPr>
      <w:r>
        <w:rPr>
          <w:color w:val="1A1A1A"/>
          <w:sz w:val="22"/>
        </w:rPr>
        <w:t>Traga o lado prático — o que substitui o gatilho quando você decide vender por confiança.</w:t>
      </w:r>
    </w:p>
    <w:p>
      <w:pPr>
        <w:pStyle w:val="ListBullet"/>
        <w:spacing w:after="80"/>
      </w:pPr>
      <w:r>
        <w:rPr>
          <w:color w:val="1A1A1A"/>
          <w:sz w:val="22"/>
        </w:rPr>
        <w:t>Prazo real, não fabricado: se a vaga é limitada, é limitada de verdade — e você explica o porquê.</w:t>
      </w:r>
    </w:p>
    <w:p>
      <w:pPr>
        <w:pStyle w:val="ListBullet"/>
        <w:spacing w:after="80"/>
      </w:pPr>
      <w:r>
        <w:rPr>
          <w:color w:val="1A1A1A"/>
          <w:sz w:val="22"/>
        </w:rPr>
        <w:t>Prova concreta no lugar de promessa vaga: mostrar processo, bastidor, resultado real — não adjetivo.</w:t>
      </w:r>
    </w:p>
    <w:p>
      <w:pPr>
        <w:pStyle w:val="ListBullet"/>
        <w:spacing w:after="80"/>
      </w:pPr>
      <w:r>
        <w:rPr>
          <w:color w:val="1A1A1A"/>
          <w:sz w:val="22"/>
        </w:rPr>
        <w:t>Comunicação coerente entre o que você fala e o que você entrega — o pós-venda é parte da venda.</w:t>
      </w:r>
    </w:p>
    <w:p>
      <w:pPr>
        <w:pStyle w:val="ListBullet"/>
        <w:spacing w:after="80"/>
      </w:pPr>
      <w:r>
        <w:rPr>
          <w:color w:val="1A1A1A"/>
          <w:sz w:val="22"/>
        </w:rPr>
        <w:t>Escuta antes de oferta: entender a dor real da cliente antes de apresentar a solução, não empurrar solução pronta.</w:t>
      </w:r>
    </w:p>
    <w:p>
      <w:pPr>
        <w:pStyle w:val="ListBullet"/>
        <w:spacing w:after="80"/>
      </w:pPr>
      <w:r>
        <w:rPr>
          <w:color w:val="1A1A1A"/>
          <w:sz w:val="22"/>
        </w:rPr>
        <w:t>Transparência sobre limitação do produto — dizer para quem não serve é parte de vender com verdade.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“Confiança não é o discurso que você faz sobre o seu negócio. É o que sobra depois que a cliente compara o que você prometeu com o que ela recebeu.”</w:t>
      </w:r>
    </w:p>
    <w:p>
      <w:pPr>
        <w:spacing w:after="160"/>
      </w:pPr>
      <w:r>
        <w:rPr>
          <w:i/>
          <w:color w:val="6B6B6B"/>
          <w:sz w:val="20"/>
        </w:rPr>
        <w:t>[Isabel: se fizer sentido, cite aqui um ajuste prático que você já fez num processo de venda seu (script de atendimento, política de reembolso, forma de anunciar vaga) para tirar pressão artificial e colocar verdade no lugar — mesmo que ainda esteja ajustando.]</w:t>
      </w:r>
    </w:p>
    <w:p>
      <w:pPr>
        <w:spacing w:after="60"/>
      </w:pPr>
      <w:r>
        <w:rPr>
          <w:b/>
          <w:color w:val="2B2118"/>
          <w:sz w:val="22"/>
        </w:rPr>
        <w:t>Frase-âncora para repetir nesse bloco: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“Negócios sólidos nascem de princípios sólidos.”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7. Momento de interação com a audiência</w:t>
      </w:r>
    </w:p>
    <w:p>
      <w:pPr>
        <w:spacing w:after="100"/>
      </w:pPr>
      <w:r>
        <w:rPr>
          <w:b/>
          <w:color w:val="9C7A3C"/>
          <w:sz w:val="20"/>
          <w:caps/>
        </w:rPr>
        <w:t>37'00 – 43'00</w:t>
      </w:r>
    </w:p>
    <w:p>
      <w:pPr>
        <w:spacing w:after="140"/>
      </w:pPr>
      <w:r>
        <w:rPr>
          <w:color w:val="1A1A1A"/>
          <w:sz w:val="22"/>
        </w:rPr>
        <w:t>Pausa deliberada para conversa — fundo de funil também constrói confiança, não só vende.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“Me conta no chat, com sinceridade: teve alguma vez que você comprou de alguém por pressão e depois se arrependeu? E teve alguma vez que você comprou de alguém só porque confiava, mesmo sem pressa nenhuma? Me conta as duas.”</w:t>
      </w:r>
    </w:p>
    <w:p>
      <w:pPr>
        <w:spacing w:after="160"/>
      </w:pPr>
      <w:r>
        <w:rPr>
          <w:i/>
          <w:color w:val="6B6B6B"/>
          <w:sz w:val="20"/>
        </w:rPr>
        <w:t>[Leia respostas por 3–5 minutos. Reaja com acolhimento, sem julgar quem já usou gatilho de urgência no próprio negócio — normalize que quase toda empresária já tentou isso antes de aprender o caminho mais sólido.]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8. Prova real</w:t>
      </w:r>
    </w:p>
    <w:p>
      <w:pPr>
        <w:spacing w:after="100"/>
      </w:pPr>
      <w:r>
        <w:rPr>
          <w:b/>
          <w:color w:val="9C7A3C"/>
          <w:sz w:val="20"/>
          <w:caps/>
        </w:rPr>
        <w:t>43'00 – 48'00</w:t>
      </w:r>
    </w:p>
    <w:p>
      <w:pPr>
        <w:spacing w:after="160"/>
      </w:pPr>
      <w:r>
        <w:rPr>
          <w:i/>
          <w:color w:val="6B6B6B"/>
          <w:sz w:val="20"/>
        </w:rPr>
        <w:t>[Isabel: insira aqui um caso real — de uma aluna, mentorada ou membro da Casa da Construção — que mudou a forma de vender (de gatilho de urgência para confiança e transparência) e colheu um resultado concreto e sustentado com isso. Se não houver caso disponível, usar um relato pessoal validado em vez de inventar um depoimento.]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“Isso não é teoria de curso de marketing. É gente como você, mudando a forma de vender e vendo o negócio ficar mais sólido, não só mais rápido.”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9. Convite — Oferta</w:t>
      </w:r>
    </w:p>
    <w:p>
      <w:pPr>
        <w:spacing w:after="100"/>
      </w:pPr>
      <w:r>
        <w:rPr>
          <w:b/>
          <w:color w:val="9C7A3C"/>
          <w:sz w:val="20"/>
          <w:caps/>
        </w:rPr>
        <w:t>48'00 – 55'00</w:t>
      </w:r>
    </w:p>
    <w:p>
      <w:pPr>
        <w:spacing w:after="140"/>
      </w:pPr>
      <w:r>
        <w:rPr>
          <w:color w:val="1A1A1A"/>
          <w:sz w:val="22"/>
        </w:rPr>
        <w:t>Transição natural, sem tom de vendedor — convite como consequência do que foi construído na conversa.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“Eu não estou aqui te chamando pra comprar nada por impulso — seria irônico depois de tudo que eu acabei de te falar. Estou te convidando pra dar o próximo passo de uma decisão que, se você chegou até aqui na live, já está madura dentro de você.”</w:t>
      </w:r>
    </w:p>
    <w:p>
      <w:pPr>
        <w:spacing w:after="160"/>
      </w:pPr>
      <w:r>
        <w:rPr>
          <w:i/>
          <w:color w:val="6B6B6B"/>
          <w:sz w:val="20"/>
        </w:rPr>
        <w:t>[OFERTA: inserir aqui o produto/passo ativo da Escada de Valor mais adequado a este tema — ex.: Casa da Construção, curso ou mentoria sobre vendas e princípios de negócio, ou Conselho Estratégico. Manter proporção 80/20 (relacionamento/direcionamento) e citar apenas o que está realmente disponível no momento da live.]</w:t>
      </w:r>
    </w:p>
    <w:p>
      <w:pPr>
        <w:spacing w:after="140"/>
      </w:pPr>
      <w:r>
        <w:rPr>
          <w:color w:val="1A1A1A"/>
          <w:sz w:val="22"/>
        </w:rPr>
        <w:t>Modelo de CTA (ajustar ao produto real definido acima):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“Se essa conversa mexeu com você, o próximo passo é [nome da oferta]. Lá eu te mostro, na prática, como estruturar uma venda que não depende de pressão para funcionar — porque ela nasce de um princípio sólido, não de um gatilho.”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10. Encerramento</w:t>
      </w:r>
    </w:p>
    <w:p>
      <w:pPr>
        <w:spacing w:after="100"/>
      </w:pPr>
      <w:r>
        <w:rPr>
          <w:b/>
          <w:color w:val="9C7A3C"/>
          <w:sz w:val="20"/>
          <w:caps/>
        </w:rPr>
        <w:t>55'00 – 60'00</w:t>
      </w:r>
    </w:p>
    <w:p>
      <w:pPr>
        <w:spacing w:after="160"/>
        <w:ind w:left="300"/>
        <w:pBdr>
          <w:left w:val="single" w:color="9C7A3C" w:sz="12" w:space="8"/>
        </w:pBdr>
      </w:pPr>
      <w:r>
        <w:rPr>
          <w:i/>
          <w:color w:val="3A3226"/>
          <w:sz w:val="22"/>
        </w:rPr>
        <w:t>“Uma vida extraordinária não acontece por acaso. Ela é construída — inclusive na forma como você vende. Hoje, antes de dormir, escolhe uma coisa no seu processo de venda que é mais pressão do que verdade, e decide o que você vai fazer diferente amanhã.”</w:t>
      </w:r>
    </w:p>
    <w:p>
      <w:pPr>
        <w:spacing w:after="160"/>
      </w:pPr>
      <w:r>
        <w:rPr>
          <w:i/>
          <w:color w:val="6B6B6B"/>
          <w:sz w:val="20"/>
        </w:rPr>
        <w:t>[Feche com agradecimento genuíno, convite para comentar/compartilhar a live e um gancho curto para o próximo conteúdo do território Princípios.]</w:t>
      </w:r>
    </w:p>
    <w:p>
      <w:pPr>
        <w:spacing w:before="400" w:after="200"/>
        <w:pBdr>
          <w:bottom w:val="single" w:color="9C7A3C" w:sz="6" w:space="4"/>
        </w:pBdr>
      </w:pPr>
      <w:r>
        <w:rPr>
          <w:b/>
          <w:color w:val="2B2118"/>
          <w:sz w:val="30"/>
        </w:rPr>
        <w:t>11. Checklist de alinhamento antes de gravar</w:t>
      </w:r>
    </w:p>
    <w:p>
      <w:pPr>
        <w:spacing w:after="120"/>
      </w:pPr>
      <w:r>
        <w:rPr>
          <w:b/>
          <w:color w:val="2B2118"/>
          <w:sz w:val="22"/>
        </w:rPr>
        <w:t xml:space="preserve">Está em um dos 4 territórios (Reconstruir / Princípios / Negócios / Legados)? </w:t>
      </w:r>
      <w:r>
        <w:rPr>
          <w:color w:val="1A1A1A"/>
          <w:sz w:val="22"/>
        </w:rPr>
        <w:t>Sim — Construir Princípios: a live trata do valor que sustenta a decisão de venda (confiança e verdade), não de tática de negócio isolada.</w:t>
      </w:r>
    </w:p>
    <w:p>
      <w:pPr>
        <w:spacing w:after="120"/>
      </w:pPr>
      <w:r>
        <w:rPr>
          <w:b/>
          <w:color w:val="2B2118"/>
          <w:sz w:val="22"/>
        </w:rPr>
        <w:t xml:space="preserve">Qual etapa do funil atende (Topo / Meio / Fundo)? </w:t>
      </w:r>
      <w:r>
        <w:rPr>
          <w:color w:val="1A1A1A"/>
          <w:sz w:val="22"/>
        </w:rPr>
        <w:t>Meio — constrói confiança e admiração ensinando um princípio de negócio a partir da prática real; não é o foco de conversão direta, embora feche com convite.</w:t>
      </w:r>
    </w:p>
    <w:p>
      <w:pPr>
        <w:spacing w:after="120"/>
      </w:pPr>
      <w:r>
        <w:rPr>
          <w:b/>
          <w:color w:val="2B2118"/>
          <w:sz w:val="22"/>
        </w:rPr>
        <w:t xml:space="preserve">O tom é de empresária, não de influenciadora? </w:t>
      </w:r>
      <w:r>
        <w:rPr>
          <w:color w:val="1A1A1A"/>
          <w:sz w:val="22"/>
        </w:rPr>
        <w:t>Sim — fala a partir de decisões reais de venda nos próprios negócios, não de teoria de marketing.</w:t>
      </w:r>
    </w:p>
    <w:p>
      <w:pPr>
        <w:spacing w:after="120"/>
      </w:pPr>
      <w:r>
        <w:rPr>
          <w:b/>
          <w:color w:val="2B2118"/>
          <w:sz w:val="22"/>
        </w:rPr>
        <w:t xml:space="preserve">Parte da experiência real, não da teoria? </w:t>
      </w:r>
      <w:r>
        <w:rPr>
          <w:color w:val="1A1A1A"/>
          <w:sz w:val="22"/>
        </w:rPr>
        <w:t>Sim, na estrutura — mas depende de preencher os campos [Isabel: ...] com casos reais antes de gravar.</w:t>
      </w:r>
    </w:p>
    <w:p>
      <w:pPr>
        <w:spacing w:after="120"/>
      </w:pPr>
      <w:r>
        <w:rPr>
          <w:b/>
          <w:color w:val="2B2118"/>
          <w:sz w:val="22"/>
        </w:rPr>
        <w:t xml:space="preserve">Não promete dinheiro fácil nem romantiza o empreendedorismo? </w:t>
      </w:r>
      <w:r>
        <w:rPr>
          <w:color w:val="1A1A1A"/>
          <w:sz w:val="22"/>
        </w:rPr>
        <w:t>Sim — o argumento central é o oposto: confiança exige tempo e coerência, não atalho.</w:t>
      </w:r>
    </w:p>
    <w:p>
      <w:pPr>
        <w:spacing w:after="120"/>
      </w:pPr>
      <w:r>
        <w:rPr>
          <w:b/>
          <w:color w:val="2B2118"/>
          <w:sz w:val="22"/>
        </w:rPr>
        <w:t xml:space="preserve">Não coloca empresa acima da família? </w:t>
      </w:r>
      <w:r>
        <w:rPr>
          <w:color w:val="1A1A1A"/>
          <w:sz w:val="22"/>
        </w:rPr>
        <w:t>Sim — o tema não força esse conflito; não há menção que subordine família a resultado comercial.</w:t>
      </w:r>
    </w:p>
    <w:p>
      <w:pPr>
        <w:spacing w:after="120"/>
      </w:pPr>
      <w:r>
        <w:rPr>
          <w:b/>
          <w:color w:val="2B2118"/>
          <w:sz w:val="22"/>
        </w:rPr>
        <w:t xml:space="preserve">Não usa fé como estratégia comercial? </w:t>
      </w:r>
      <w:r>
        <w:rPr>
          <w:color w:val="1A1A1A"/>
          <w:sz w:val="22"/>
        </w:rPr>
        <w:t>Sim — fé não é citada como argumento de venda neste roteiro; o convite comercial é apresentado à parte, de forma direta.</w:t>
      </w:r>
    </w:p>
    <w:p>
      <w:pPr>
        <w:spacing w:after="120"/>
      </w:pPr>
      <w:r>
        <w:rPr>
          <w:b/>
          <w:color w:val="2B2118"/>
          <w:sz w:val="22"/>
        </w:rPr>
        <w:t xml:space="preserve">Gera transformação, não só entretenimento? </w:t>
      </w:r>
      <w:r>
        <w:rPr>
          <w:color w:val="1A1A1A"/>
          <w:sz w:val="22"/>
        </w:rPr>
        <w:t>Sim — termina em um passo prático de revisão do próprio processo de venda.</w:t>
      </w:r>
    </w:p>
    <w:p>
      <w:pPr>
        <w:spacing w:after="120"/>
      </w:pPr>
      <w:r>
        <w:rPr>
          <w:b/>
          <w:color w:val="2B2118"/>
          <w:sz w:val="22"/>
        </w:rPr>
        <w:t xml:space="preserve">Continuará verdadeiro daqui a 10 anos? </w:t>
      </w:r>
      <w:r>
        <w:rPr>
          <w:color w:val="1A1A1A"/>
          <w:sz w:val="22"/>
        </w:rPr>
        <w:t>Sim — o princípio (confiança sustenta venda de longo prazo) não depende de moda ou plataforma.</w:t>
      </w:r>
    </w:p>
    <w:p>
      <w:pPr>
        <w:spacing w:after="120"/>
      </w:pPr>
      <w:r>
        <w:rPr>
          <w:b/>
          <w:color w:val="2B2118"/>
          <w:sz w:val="22"/>
        </w:rPr>
        <w:t xml:space="preserve">Transmite ao menos uma das teses da marca? </w:t>
      </w:r>
      <w:r>
        <w:rPr>
          <w:color w:val="1A1A1A"/>
          <w:sz w:val="22"/>
        </w:rPr>
        <w:t>Sim — ‘Autoridade se constrói. Não se declara.’ e ‘Negócios sólidos nascem de princípios sólidos.’, repetidas nos Blocos 1, 2 e 3.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