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aps/>
          <w:color w:val="9C7A3C"/>
          <w:sz w:val="20"/>
          <w:szCs w:val="20"/>
        </w:rPr>
        <w:t xml:space="preserve">ISABEL TUNAS · ROTEIRO DE LIVE</w:t>
      </w:r>
    </w:p>
    <w:p>
      <w:pPr>
        <w:spacing w:after="300"/>
      </w:pPr>
      <w:r>
        <w:rPr>
          <w:b/>
          <w:bCs/>
          <w:color w:val="2B2118"/>
          <w:sz w:val="40"/>
          <w:szCs w:val="40"/>
        </w:rPr>
        <w:t xml:space="preserve">Quem toca essa empresa quando eu não estiver mais aqui?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600"/>
            <w:shd w:fill="F2EEE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2B2118"/>
                <w:sz w:val="20"/>
                <w:szCs w:val="20"/>
              </w:rPr>
              <w:t xml:space="preserve">Território</w:t>
            </w:r>
          </w:p>
        </w:tc>
        <w:tc>
          <w:tcPr>
            <w:tcW w:type="dxa" w:w="664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Construir Legados</w:t>
            </w:r>
          </w:p>
        </w:tc>
      </w:tr>
      <w:tr>
        <w:tc>
          <w:tcPr>
            <w:tcW w:type="dxa" w:w="2600"/>
            <w:shd w:fill="F2EEE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2B2118"/>
                <w:sz w:val="20"/>
                <w:szCs w:val="20"/>
              </w:rPr>
              <w:t xml:space="preserve">Etapa do funil</w:t>
            </w:r>
          </w:p>
        </w:tc>
        <w:tc>
          <w:tcPr>
            <w:tcW w:type="dxa" w:w="664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Fundo — Converter</w:t>
            </w:r>
          </w:p>
        </w:tc>
      </w:tr>
      <w:tr>
        <w:tc>
          <w:tcPr>
            <w:tcW w:type="dxa" w:w="2600"/>
            <w:shd w:fill="F2EEE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2B2118"/>
                <w:sz w:val="20"/>
                <w:szCs w:val="20"/>
              </w:rPr>
              <w:t xml:space="preserve">Emoções-alvo</w:t>
            </w:r>
          </w:p>
        </w:tc>
        <w:tc>
          <w:tcPr>
            <w:tcW w:type="dxa" w:w="664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Segurança, desejo, compromisso</w:t>
            </w:r>
          </w:p>
        </w:tc>
      </w:tr>
      <w:tr>
        <w:tc>
          <w:tcPr>
            <w:tcW w:type="dxa" w:w="2600"/>
            <w:shd w:fill="F2EEE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2B2118"/>
                <w:sz w:val="20"/>
                <w:szCs w:val="20"/>
              </w:rPr>
              <w:t xml:space="preserve">Duração sugerida</w:t>
            </w:r>
          </w:p>
        </w:tc>
        <w:tc>
          <w:tcPr>
            <w:tcW w:type="dxa" w:w="664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50–60 minutos</w:t>
            </w:r>
          </w:p>
        </w:tc>
      </w:tr>
      <w:tr>
        <w:tc>
          <w:tcPr>
            <w:tcW w:type="dxa" w:w="2600"/>
            <w:shd w:fill="F2EEE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2B2118"/>
                <w:sz w:val="20"/>
                <w:szCs w:val="20"/>
              </w:rPr>
              <w:t xml:space="preserve">Objetivo</w:t>
            </w:r>
          </w:p>
        </w:tc>
        <w:tc>
          <w:tcPr>
            <w:tcW w:type="dxa" w:w="664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Levar a audiência a tratar planejamento sucessório e governança familiar como ato de amor e responsabilidade — não assunto para 'quando eu for mais velha' — e conduzir a um próximo passo concreto na Jornada da Construção.</w:t>
            </w:r>
          </w:p>
        </w:tc>
      </w:tr>
      <w:tr>
        <w:tc>
          <w:tcPr>
            <w:tcW w:type="dxa" w:w="2600"/>
            <w:shd w:fill="F2EEE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2B2118"/>
                <w:sz w:val="20"/>
                <w:szCs w:val="20"/>
              </w:rPr>
              <w:t xml:space="preserve">Tese central</w:t>
            </w:r>
          </w:p>
        </w:tc>
        <w:tc>
          <w:tcPr>
            <w:tcW w:type="dxa" w:w="664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"O sucesso termina em você. O legado continua depois de você." + "Negócios são ferramentas. Nunca identidade."</w:t>
            </w:r>
          </w:p>
        </w:tc>
      </w:tr>
    </w:tbl>
    <w:p>
      <w:pPr>
        <w:spacing w:after="100" w:before="300"/>
      </w:pPr>
    </w:p>
    <w:p>
      <w:pPr>
        <w:spacing w:after="140"/>
      </w:pPr>
      <w:r>
        <w:rPr>
          <w:b w:val="false"/>
          <w:bCs w:val="false"/>
          <w:i/>
          <w:iCs/>
          <w:color w:val="6B6B6B"/>
          <w:sz w:val="22"/>
          <w:szCs w:val="22"/>
        </w:rPr>
        <w:t xml:space="preserve">Nota de produção: não foi possível acessar o Instagram (@isabeltunas) durante a montagem deste roteiro — o navegador de apoio ficou indisponível na sessão. A estrutura e as falas abaixo foram construídas a partir do manual da marca (tom de voz, teses, território, funil). Recomendo revisar contra 2–3 lives/reels recentes antes de gravar, para ajustar cadência e maneirismos específicos.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1. Comportamentos de marca a repetir neste roteiro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Fala em primeira pessoa, a partir de decisões reais — nunca 'especialistas dizem', sempre 'foi isso que eu vivi'.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Dirige-se direto à câmera como se falasse com uma amiga empresária — sem tom de palco ou de guru.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Abre com pergunta desconfortável e honesta, não com estatística fria.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Nomeia o dado/contexto, mas devolve rápido para a experiência pessoal — dado é gancho, não é o centro.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Interage com o chat pelo nome, faz pausa real para ler respostas.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Nunca usa a fé como argumento de venda — fé aparece como fundamento de vida, o convite comercial vem separado e claro.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Repete as frases-teste da marca quase literalmente, como assinatura.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Fecha com um passo prático e um convite direto — sem pressa, sem urgência artificial.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2. Abertura — Gancho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0'00 – 3'00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Câmera no rosto, sem introdução longa. Pergunta direta primeiro, contexto depois.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"Eu quero te fazer uma pergunta que a maioria das empresárias evita responder: se eu não estivesse mais aqui amanhã, quem tocaria a minha empresa?"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"Calma — isso não é sobre morrer. É sobre a pergunta mais responsável que uma dona de negócio pode fazer a si mesma. E hoje eu vou te mostrar por que ela não pode esperar 'para quando eu for mais velha'."</w:t>
      </w:r>
    </w:p>
    <w:p>
      <w:pPr>
        <w:spacing w:after="160"/>
      </w:pPr>
      <w:r>
        <w:rPr>
          <w:i/>
          <w:iCs/>
          <w:color w:val="6B6B6B"/>
          <w:sz w:val="20"/>
          <w:szCs w:val="20"/>
        </w:rPr>
        <w:t xml:space="preserve">[Peça para quem está assistindo comentar de onde está assistindo e responder rápido no chat: você já parou pra pensar nisso? Leia 2–3 respostas em voz alta antes de seguir.]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3. Contexto — Por que esse tema agora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3'00 – 9'00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Traga o dado com transparência sobre a fonte — a marca preza por verdade, não por número inflado para causar choque.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"Segundo o IBGE, 90% das empresas no Brasil são familiares. E segundo o Sebrae, só 30% delas sobrevivem até a segunda geração — e apenas 5% chegam à terceira. Empresas familiares empregam 75% da força de trabalho no país e respondem por mais da metade do PIB. Isso não é estatística de LinkedIn. É gente real perdendo o que levou uma vida para construir."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"E várias pessoas que entendem de gestão de empresa familiar vêm dizendo a mesma coisa: os próximos anos, entre 2026 e 2030, tendem a ser o maior ciclo de troca de comando e de patrimônio dentro de empresas familiares que o Brasil já viu. Eu não vou te trazer isso como verdade absoluta e definitiva — não é um estudo único e oficial, é o que especialistas do setor vêm apontando. Mas mesmo que o número exato varie, a direção é clara: quem está construindo agora, vai precisar decidir quem continua depois."</w:t>
      </w:r>
    </w:p>
    <w:p>
      <w:pPr>
        <w:spacing w:after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Ponte para a tese da marca: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"E o motivo de eu trazer isso pra você hoje não é te assustar. É porque eu acredito nisso: o sucesso termina em você. O legado continua depois de você."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4. Bloco 1 — Negócio é ferramenta, nunca identidade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9'00 – 18'00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Desenvolva a tese central do território Legados: o motivo pelo qual tantas empresárias não planejam sucessão é que confundem a empresa com a própria identidade.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"Enquanto a empresa for a resposta para 'quem eu sou', eu não consigo pensar em passar o bastão. Porque no fundo, isso parece morte. Mas quando eu entendo que negócio é ferramenta — nunca identidade — eu consigo enxergar a sucessão como continuidade, não como perda."</w:t>
      </w:r>
    </w:p>
    <w:p>
      <w:pPr>
        <w:spacing w:after="160"/>
      </w:pPr>
      <w:r>
        <w:rPr>
          <w:i/>
          <w:iCs/>
          <w:color w:val="6B6B6B"/>
          <w:sz w:val="20"/>
          <w:szCs w:val="20"/>
        </w:rPr>
        <w:t xml:space="preserve">[Isabel: compartilhe aqui uma decisão real sua — em algum dos seus negócios ou hotéis — em que você teve que se perguntar 'essa empresa sou eu, ou é uma ferramenta que passa por mim?'. Use um caso concreto, com detalhe real, não genérico.]</w:t>
      </w:r>
    </w:p>
    <w:p>
      <w:pPr>
        <w:spacing w:after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Frase-âncora para repetir nesse bloco: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"Empresas não mudam apenas patrimônios. Mudam gerações."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5. Bloco 2 — Sucessão como ato de amor, não de fraqueza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18'00 – 28'00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Enfrente os dois adversários da marca que mais travam esse tema: a vaidade de 'não parecer estar pensando em morrer' e a ideia de que fé substitui planejamento.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"Tem empresária que não fala sobre isso porque acha que planejar sucessão é admitir fragilidade, ou admitir que está ficando velha. É o contrário: é o gesto mais maduro que existe. Amor não é só cuidar de quem você ama enquanto você está aqui. É deixar tudo organizado para quando você não estiver."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"E eu não vou te dizer que basta orar e confiar que Deus vai resolver quem toca sua empresa. Fé não substitui responsabilidade — fé sustenta a responsabilidade. Deus não te chamou pra sobreviver às circunstâncias. Te chamou pra construir. E construir inclui planejar o depois."</w:t>
      </w:r>
    </w:p>
    <w:p>
      <w:pPr>
        <w:spacing w:after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Frase-âncora: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"Autoridade se constrói. Não se declara. E legado também."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6. Bloco 3 — O que significa preparar quem vem depois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28'00 – 38'00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Traga o lado prático — governança familiar como estrutura, não como teoria abstrata.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Separar patrimônio pessoal de patrimônio da empresa — no papel, não só na cabeça.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Ter protocolo familiar: quem entra, quem não entra, sob quais regras — decidido antes da emoção do momento decidir por você.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Documentar processos e decisões-chave da empresa, para que não morram com quem hoje as toma.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Preparar sucessores de verdade — filhos, sócios ou equipe de confiança — não só tecnicamente, mas em caráter e princípios.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Ter (ou montar) um conselho ou grupo de confiança que sustente decisões grandes, para a empresa não depender de uma pessoa só.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"Legado não é o valor que fica no banco. É o caráter que fica nas pessoas que continuam depois de você."</w:t>
      </w:r>
    </w:p>
    <w:p>
      <w:pPr>
        <w:spacing w:after="160"/>
      </w:pPr>
      <w:r>
        <w:rPr>
          <w:i/>
          <w:iCs/>
          <w:color w:val="6B6B6B"/>
          <w:sz w:val="20"/>
          <w:szCs w:val="20"/>
        </w:rPr>
        <w:t xml:space="preserve">[Isabel: se fizer sentido, cite aqui um passo prático que você já tomou nos seus negócios (formalização, conselho, protocolo) — mesmo que ainda em construção. Verdade antes de perfeição.]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7. Interação com a audiência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38'00 – 43'00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Pausa deliberada para conversa — fundo de funil também constrói confiança, não só vende.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"Me responde no chat, com sinceridade: se você saísse da sua empresa amanhã, ela sobreviveria sem você? E: você já teve essa conversa aberta com sua família ou seus sócios?"</w:t>
      </w:r>
    </w:p>
    <w:p>
      <w:pPr>
        <w:spacing w:after="160"/>
      </w:pPr>
      <w:r>
        <w:rPr>
          <w:i/>
          <w:iCs/>
          <w:color w:val="6B6B6B"/>
          <w:sz w:val="20"/>
          <w:szCs w:val="20"/>
        </w:rPr>
        <w:t xml:space="preserve">[Leia respostas por 3–5 minutos. Reaja com acolhimento, sem julgar quem nunca pensou nisso — normalize o despreparo antes de apontar o caminho.]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8. Bloco 4 — Prova real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43'00 – 48'00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Etapa de fundo de funil pede prova concreta, não só discurso.</w:t>
      </w:r>
    </w:p>
    <w:p>
      <w:pPr>
        <w:spacing w:after="160"/>
      </w:pPr>
      <w:r>
        <w:rPr>
          <w:i/>
          <w:iCs/>
          <w:color w:val="6B6B6B"/>
          <w:sz w:val="20"/>
          <w:szCs w:val="20"/>
        </w:rPr>
        <w:t xml:space="preserve">[Isabel: insira aqui um caso real — de uma aluna, mentorada ou membro da Casa da Construção — que organizou sucessão/governança e colheu segurança ou resultado concreto com isso. Se não houver caso disponível, usar um relato pessoal validado em vez de inventar um depoimento.]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"Isso não é teoria. É gente como você, tomando decisões reais, que está deixando a empresa dela mais segura do que a encontrou."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9. Convite — Oferta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48'00 – 55'00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Transição natural, sem tom de vendedor — convite como consequência do que foi construído na conversa.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"Eu não estou te chamando pra comprar nada. Estou te convidando pra dar o próximo passo de uma decisão que você já sabe, no fundo, que precisa tomar."</w:t>
      </w:r>
    </w:p>
    <w:p>
      <w:pPr>
        <w:spacing w:after="160"/>
      </w:pPr>
      <w:r>
        <w:rPr>
          <w:i/>
          <w:iCs/>
          <w:color w:val="6B6B6B"/>
          <w:sz w:val="20"/>
          <w:szCs w:val="20"/>
        </w:rPr>
        <w:t xml:space="preserve">[OFERTA: inserir aqui o produto/passo ativo da Escada de Valor mais adequado a este tema — ex.: Casa da Construção, curso ou mentoria sobre estruturação e sucessão, ou Conselho Estratégico. Manter proporção 80/20 (relacionamento/direcionamento) e citar apenas o que está realmente disponível no momento da live.]</w:t>
      </w:r>
    </w:p>
    <w:p>
      <w:pPr>
        <w:spacing w:after="140"/>
      </w:pPr>
      <w:r>
        <w:rPr>
          <w:b w:val="false"/>
          <w:bCs w:val="false"/>
          <w:i/>
          <w:iCs/>
          <w:color w:val="6B6B6B"/>
          <w:sz w:val="22"/>
          <w:szCs w:val="22"/>
        </w:rPr>
        <w:t xml:space="preserve">Modelo de CTA (ajustar ao produto real definido acima):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"Se essa conversa mexeu com você, o próximo passo é [nome da oferta]. Lá eu te mostro, na prática, como estruturar isso na sua empresa — não com fórmula genérica, com o que realmente funciona."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10. Encerramento</w:t>
      </w:r>
    </w:p>
    <w:p>
      <w:pPr>
        <w:spacing w:after="100"/>
      </w:pPr>
      <w:r>
        <w:rPr>
          <w:b/>
          <w:bCs/>
          <w:caps/>
          <w:color w:val="9C7A3C"/>
          <w:sz w:val="20"/>
          <w:szCs w:val="20"/>
        </w:rPr>
        <w:t xml:space="preserve">55'00 – 60'00</w:t>
      </w:r>
    </w:p>
    <w:p>
      <w:pPr>
        <w:pBdr>
          <w:left w:val="single" w:color="9C7A3C" w:sz="12" w:space="8"/>
        </w:pBdr>
        <w:spacing w:after="160"/>
        <w:ind w:left="300"/>
      </w:pPr>
      <w:r>
        <w:rPr>
          <w:i/>
          <w:iCs/>
          <w:color w:val="3A3226"/>
          <w:sz w:val="22"/>
          <w:szCs w:val="22"/>
        </w:rPr>
        <w:t xml:space="preserve">"Uma vida extraordinária não acontece por acaso. Ela é construída — inclusive depois que você não estiver mais aqui para construir por ela. Comece essa conversa em casa, com quem você ama, ainda hoje."</w:t>
      </w:r>
    </w:p>
    <w:p>
      <w:pPr>
        <w:spacing w:after="160"/>
      </w:pPr>
      <w:r>
        <w:rPr>
          <w:i/>
          <w:iCs/>
          <w:color w:val="6B6B6B"/>
          <w:sz w:val="20"/>
          <w:szCs w:val="20"/>
        </w:rPr>
        <w:t xml:space="preserve">[Feche com agradecimento genuíno, convite para comentar/compartilhar a live e um gancho curto para o próximo conteúdo do território Legados.]</w:t>
      </w:r>
    </w:p>
    <w:p>
      <w:pPr>
        <w:pStyle w:val="Heading1"/>
        <w:pBdr>
          <w:bottom w:val="single" w:color="9C7A3C" w:sz="6" w:space="4"/>
        </w:pBdr>
        <w:spacing w:after="200" w:before="400"/>
      </w:pPr>
      <w:r>
        <w:rPr>
          <w:b/>
          <w:bCs/>
          <w:color w:val="2B2118"/>
          <w:sz w:val="30"/>
          <w:szCs w:val="30"/>
        </w:rPr>
        <w:t xml:space="preserve">11. Checklist de alinhamento antes de gravar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Está no território Construir Legados? Sim — sucessão, patrimônio, próximas gerações.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Etapa do funil é Fundo (converter)? Sim — inclui prova e convite claro.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Tom de empresária, não de influenciadora? Confirmar nas falas pessoais dos Blocos 1 e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Parte de experiência real, não de teoria? Preencher todos os campos [Isabel: ...] antes de ir ao 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Não promete dinheiro fácil nem romantiza o empreendedorismo? Sim.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Não coloca empresa acima da família? Reforçado no Bloco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Não usa fé como estratégia comercial? Fé tratada como fundamento, oferta apresentada à parte.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Gera transformação, não só entretenimento? Sim — termina em passo prático.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Continuará verdadeiro daqui a 10 anos? Sim.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Transmite ao menos uma das teses da marca? Sim — repetidas nas seções 4, 5 e 6.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2026-07-08T21:00:02.557Z</dcterms:created>
  <dcterms:modified xsi:type="dcterms:W3CDTF">2026-07-08T21:00:02.558Z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