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Revenue grew in every region. Costs held flat at $5 per unit; see &lt;the table&gt; &amp; *notes*.</w:t>
      </w:r>
    </w:p>
    <w:p>
      <w:pPr>
        <w:pStyle w:val="Heading1"/>
      </w:pPr>
      <w:r>
        <w:t>Highlights</w:t>
      </w:r>
    </w:p>
    <w:p>
      <w:pPr>
        <w:pStyle w:val="ListBullet"/>
      </w:pPr>
      <w:r>
        <w:t>New customers in the north</w:t>
      </w:r>
    </w:p>
    <w:p>
      <w:pPr>
        <w:pStyle w:val="ListBullet"/>
      </w:pPr>
      <w:r>
        <w:t>Two hires, both engineers</w:t>
      </w:r>
    </w:p>
    <w:p>
      <w:pPr>
        <w:pStyle w:val="ListBullet2"/>
      </w:pPr>
      <w:r>
        <w:t>One of them in support</w:t>
      </w:r>
    </w:p>
    <w:p>
      <w:pPr>
        <w:pStyle w:val="Heading2"/>
      </w:pPr>
      <w:r>
        <w:t>By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p/>
    <w:p>
      <w:r>
        <w:t>Prepared by the finance teammate.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