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EVM</w:t>
      </w:r>
      <w:r>
        <w:t xml:space="preserve"> </w:t>
      </w:r>
      <w:r>
        <w:t xml:space="preserve">Dashboard</w:t>
      </w:r>
      <w:r>
        <w:t xml:space="preserve"> </w:t>
      </w:r>
      <w:r>
        <w:t xml:space="preserve">—</w:t>
      </w:r>
      <w:r>
        <w:t xml:space="preserve"> </w:t>
      </w:r>
      <w:r>
        <w:t xml:space="preserve">Validation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CE</w:t>
      </w:r>
      <w:r>
        <w:t xml:space="preserve"> </w:t>
      </w:r>
      <w:r>
        <w:t xml:space="preserve">725</w:t>
      </w:r>
      <w:r>
        <w:t xml:space="preserve"> </w:t>
      </w:r>
      <w:r>
        <w:t xml:space="preserve">Construction</w:t>
      </w:r>
      <w:r>
        <w:t xml:space="preserve"> </w:t>
      </w:r>
      <w:r>
        <w:t xml:space="preserve">Economics</w:t>
      </w:r>
      <w:r>
        <w:t xml:space="preserve"> </w:t>
      </w:r>
      <w:r>
        <w:t xml:space="preserve">and</w:t>
      </w:r>
      <w:r>
        <w:t xml:space="preserve"> </w:t>
      </w:r>
      <w:r>
        <w:t xml:space="preserve">Finance</w:t>
      </w:r>
      <w:r>
        <w:t xml:space="preserve"> </w:t>
      </w:r>
      <w:r>
        <w:t xml:space="preserve">·</w:t>
      </w:r>
      <w:r>
        <w:t xml:space="preserve"> </w:t>
      </w:r>
      <w:r>
        <w:t xml:space="preserve">Course</w:t>
      </w:r>
      <w:r>
        <w:t xml:space="preserve"> </w:t>
      </w:r>
      <w:r>
        <w:t xml:space="preserve">project,</w:t>
      </w:r>
      <w:r>
        <w:t xml:space="preserve"> </w:t>
      </w:r>
      <w:r>
        <w:t xml:space="preserve">Topic</w:t>
      </w:r>
      <w:r>
        <w:t xml:space="preserve"> </w:t>
      </w:r>
      <w:r>
        <w:t xml:space="preserve">7</w:t>
      </w:r>
    </w:p>
    <w:p>
      <w:pPr>
        <w:pStyle w:val="FirstParagraph"/>
      </w:pPr>
      <w:r>
        <w:rPr>
          <w:bCs/>
          <w:b/>
        </w:rPr>
        <w:t xml:space="preserve">Status of this report.</w:t>
      </w:r>
      <w:r>
        <w:t xml:space="preserve"> </w:t>
      </w:r>
      <w:r>
        <w:t xml:space="preserve">All test results below come from actual runs on 21-Oct-2026 (evidence:</w:t>
      </w:r>
      <w:r>
        <w:t xml:space="preserve"> </w:t>
      </w:r>
      <w:r>
        <w:rPr>
          <w:rStyle w:val="VerbatimChar"/>
        </w:rPr>
        <w:t xml:space="preserve">reports/test_results.txt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reports/benchmark_comparison.md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reports/browser_test_log.txt</w:t>
      </w:r>
      <w:r>
        <w:t xml:space="preserve">). The independent benchmark calculations were prepared with AI assistance (Claude) separately from the dashboard code.</w:t>
      </w:r>
      <w:r>
        <w:t xml:space="preserve"> </w:t>
      </w:r>
      <w:r>
        <w:rPr>
          <w:bCs/>
          <w:b/>
        </w:rPr>
        <w:t xml:space="preserve">The course requires the team to verify every number against a manual benchmark; the Validation Engineer must redo Section 4 on paper and sign Section 15 before submission.</w:t>
      </w:r>
      <w:r>
        <w:t xml:space="preserve"> </w:t>
      </w:r>
      <w:r>
        <w:t xml:space="preserve">Until then, Section 4 is</w:t>
      </w:r>
      <w:r>
        <w:t xml:space="preserve"> </w:t>
      </w:r>
      <w:r>
        <w:t xml:space="preserve">“</w:t>
      </w:r>
      <w:r>
        <w:t xml:space="preserve">prepared, awaiting team verification</w:t>
      </w:r>
      <w:r>
        <w:t xml:space="preserve">”</w:t>
      </w:r>
      <w:r>
        <w:t xml:space="preserve">.</w:t>
      </w:r>
    </w:p>
    <w:bookmarkStart w:id="20" w:name="validation-objective"/>
    <w:p>
      <w:pPr>
        <w:pStyle w:val="Heading1"/>
      </w:pPr>
      <w:r>
        <w:t xml:space="preserve">1. Validation objective</w:t>
      </w:r>
    </w:p>
    <w:p>
      <w:pPr>
        <w:pStyle w:val="FirstParagraph"/>
      </w:pPr>
      <w:r>
        <w:t xml:space="preserve">To show that every metric the dashboard reports — PV, EV, AC, CV, SV, CPI, SPI, EAC (methods A–C), ETC, VAC, forecast overrun, TCPI to BAC and TCPI to EAC — equals an independently prepared manual result for two reporting periods (course requirement, Topic 7), and that undefined, invalid and edge-case inputs are handled without displaying fabricated numbers.</w:t>
      </w:r>
    </w:p>
    <w:bookmarkEnd w:id="20"/>
    <w:bookmarkStart w:id="21" w:name="benchmark-project"/>
    <w:p>
      <w:pPr>
        <w:pStyle w:val="Heading1"/>
      </w:pPr>
      <w:r>
        <w:t xml:space="preserve">2. Benchmark project</w:t>
      </w:r>
    </w:p>
    <w:p>
      <w:pPr>
        <w:pStyle w:val="FirstParagraph"/>
      </w:pPr>
      <w:r>
        <w:t xml:space="preserve">Synthetic, illustrative G+4 RCC residential block. Four work packages; BAC ₹4,00,00,000 (sum of WP budgets). Two monthly status dates: Period 1 = 31-Jan-2026, Period 2 = 28-Feb-2026. A work-package case was chosen deliberately because it also tests budget weighting, the most common EV error. It also contains cost without progress (WP4, Period 1: ₹1,00,000 spent at 0% complete — a procurement advance), which must not be treated as an error.</w:t>
      </w:r>
    </w:p>
    <w:bookmarkEnd w:id="21"/>
    <w:bookmarkStart w:id="22" w:name="input-data-cumulative"/>
    <w:p>
      <w:pPr>
        <w:pStyle w:val="Heading1"/>
      </w:pPr>
      <w:r>
        <w:t xml:space="preserve">3. Input data (cumulative)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 package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Budget (₹)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P1 planned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P1 actual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P1 AC (₹)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P2 planned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P2 actual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P2 AC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WP1 Substructure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80,00,000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84,00,000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84,00,000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WP2 RCC superstructure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1,60,00,000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52,00,000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98,00,000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WP3 Masonry and finishes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1,20,00,000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WP4 MEP services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1,00,000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8"/>
              </w:rPr>
              <w:t xml:space="preserve">4,00,00,000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data/benchmark_case_work_packages.csv</w:t>
      </w:r>
      <w:r>
        <w:t xml:space="preserve">. Assumptions: all values cumulative; actual % is physical progress against budgeted scope; one baseline.</w:t>
      </w:r>
    </w:p>
    <w:bookmarkEnd w:id="22"/>
    <w:bookmarkStart w:id="23" w:name="Xe3781312f44d92134964c7b94b44865bcf01464"/>
    <w:p>
      <w:pPr>
        <w:pStyle w:val="Heading1"/>
      </w:pPr>
      <w:r>
        <w:t xml:space="preserve">4. Manual calculations (working shown; ₹ lakh = ₹1,00,000)</w:t>
      </w:r>
    </w:p>
    <w:p>
      <w:pPr>
        <w:pStyle w:val="FirstParagraph"/>
      </w:pPr>
      <w:r>
        <w:rPr>
          <w:bCs/>
          <w:b/>
        </w:rPr>
        <w:t xml:space="preserve">Period 1 — 31-Jan-2026</w:t>
      </w:r>
    </w:p>
    <w:p>
      <w:pPr>
        <w:numPr>
          <w:ilvl w:val="0"/>
          <w:numId w:val="1001"/>
        </w:numPr>
        <w:pStyle w:val="Compact"/>
      </w:pPr>
      <w:r>
        <w:t xml:space="preserve">PV = 80×1.00 + 160×0.40 + 120×0 + 40×0.05 = 80 + 64 + 0 + 2 =</w:t>
      </w:r>
      <w:r>
        <w:t xml:space="preserve"> </w:t>
      </w:r>
      <w:r>
        <w:rPr>
          <w:bCs/>
          <w:b/>
        </w:rPr>
        <w:t xml:space="preserve">146.00 lakh</w:t>
      </w:r>
    </w:p>
    <w:p>
      <w:pPr>
        <w:numPr>
          <w:ilvl w:val="0"/>
          <w:numId w:val="1001"/>
        </w:numPr>
        <w:pStyle w:val="Compact"/>
      </w:pPr>
      <w:r>
        <w:t xml:space="preserve">EV = 80×1.00 + 160×0.30 + 120×0 + 40×0 = 80 + 48 =</w:t>
      </w:r>
      <w:r>
        <w:t xml:space="preserve"> </w:t>
      </w:r>
      <w:r>
        <w:rPr>
          <w:bCs/>
          <w:b/>
        </w:rPr>
        <w:t xml:space="preserve">128.00 lakh</w:t>
      </w:r>
    </w:p>
    <w:p>
      <w:pPr>
        <w:numPr>
          <w:ilvl w:val="0"/>
          <w:numId w:val="1001"/>
        </w:numPr>
        <w:pStyle w:val="Compact"/>
      </w:pPr>
      <w:r>
        <w:t xml:space="preserve">AC = 84 + 52 + 0 + 1 =</w:t>
      </w:r>
      <w:r>
        <w:t xml:space="preserve"> </w:t>
      </w:r>
      <w:r>
        <w:rPr>
          <w:bCs/>
          <w:b/>
        </w:rPr>
        <w:t xml:space="preserve">137.00 lakh</w:t>
      </w:r>
    </w:p>
    <w:p>
      <w:pPr>
        <w:numPr>
          <w:ilvl w:val="0"/>
          <w:numId w:val="1001"/>
        </w:numPr>
        <w:pStyle w:val="Compact"/>
      </w:pPr>
      <w:r>
        <w:t xml:space="preserve">CV = 128 − 137 =</w:t>
      </w:r>
      <w:r>
        <w:t xml:space="preserve"> </w:t>
      </w:r>
      <w:r>
        <w:rPr>
          <w:bCs/>
          <w:b/>
        </w:rPr>
        <w:t xml:space="preserve">−9.00 lakh</w:t>
      </w:r>
      <w:r>
        <w:t xml:space="preserve">; SV = 128 − 146 =</w:t>
      </w:r>
      <w:r>
        <w:t xml:space="preserve"> </w:t>
      </w:r>
      <w:r>
        <w:rPr>
          <w:bCs/>
          <w:b/>
        </w:rPr>
        <w:t xml:space="preserve">−18.00 lakh</w:t>
      </w:r>
    </w:p>
    <w:p>
      <w:pPr>
        <w:numPr>
          <w:ilvl w:val="0"/>
          <w:numId w:val="1001"/>
        </w:numPr>
        <w:pStyle w:val="Compact"/>
      </w:pPr>
      <w:r>
        <w:t xml:space="preserve">CPI = 128/137 =</w:t>
      </w:r>
      <w:r>
        <w:t xml:space="preserve"> </w:t>
      </w:r>
      <w:r>
        <w:rPr>
          <w:bCs/>
          <w:b/>
        </w:rPr>
        <w:t xml:space="preserve">0.934307</w:t>
      </w:r>
      <w:r>
        <w:t xml:space="preserve">; SPI = 128/146 =</w:t>
      </w:r>
      <w:r>
        <w:t xml:space="preserve"> </w:t>
      </w:r>
      <w:r>
        <w:rPr>
          <w:bCs/>
          <w:b/>
        </w:rPr>
        <w:t xml:space="preserve">0.876712</w:t>
      </w:r>
    </w:p>
    <w:p>
      <w:pPr>
        <w:numPr>
          <w:ilvl w:val="0"/>
          <w:numId w:val="1001"/>
        </w:numPr>
        <w:pStyle w:val="Compact"/>
      </w:pPr>
      <w:r>
        <w:t xml:space="preserve">EAC(A) = BAC/CPI = 400 × 137/128 =</w:t>
      </w:r>
      <w:r>
        <w:t xml:space="preserve"> </w:t>
      </w:r>
      <w:r>
        <w:rPr>
          <w:bCs/>
          <w:b/>
        </w:rPr>
        <w:t xml:space="preserve">428.125 lakh</w:t>
      </w:r>
      <w:r>
        <w:t xml:space="preserve">; ETC = 428.125 − 137 = 291.125; VAC = −28.125; overrun 28.125/400 =</w:t>
      </w:r>
      <w:r>
        <w:t xml:space="preserve"> </w:t>
      </w:r>
      <w:r>
        <w:rPr>
          <w:bCs/>
          <w:b/>
        </w:rPr>
        <w:t xml:space="preserve">7.03125%</w:t>
      </w:r>
    </w:p>
    <w:p>
      <w:pPr>
        <w:numPr>
          <w:ilvl w:val="0"/>
          <w:numId w:val="1001"/>
        </w:numPr>
        <w:pStyle w:val="Compact"/>
      </w:pPr>
      <w:r>
        <w:t xml:space="preserve">EAC(B) = 137 + (400 − 128)/(CPI×SPI); CPI×SPI = (128×128)/(137×146) = 16,384/20,002 = 0.819118; 272/0.819118 = 272×20,002/16,384 =</w:t>
      </w:r>
      <w:r>
        <w:t xml:space="preserve"> </w:t>
      </w:r>
      <w:r>
        <w:rPr>
          <w:bCs/>
          <w:b/>
        </w:rPr>
        <w:t xml:space="preserve">332.064453</w:t>
      </w:r>
      <w:r>
        <w:t xml:space="preserve">; EAC(B) =</w:t>
      </w:r>
      <w:r>
        <w:t xml:space="preserve"> </w:t>
      </w:r>
      <w:r>
        <w:rPr>
          <w:bCs/>
          <w:b/>
        </w:rPr>
        <w:t xml:space="preserve">469.064453 lakh</w:t>
      </w:r>
      <w:r>
        <w:t xml:space="preserve">; ETC 332.064453; VAC −69.064453; overrun</w:t>
      </w:r>
      <w:r>
        <w:t xml:space="preserve"> </w:t>
      </w:r>
      <w:r>
        <w:rPr>
          <w:bCs/>
          <w:b/>
        </w:rPr>
        <w:t xml:space="preserve">17.266113%</w:t>
      </w:r>
    </w:p>
    <w:p>
      <w:pPr>
        <w:numPr>
          <w:ilvl w:val="0"/>
          <w:numId w:val="1001"/>
        </w:numPr>
        <w:pStyle w:val="Compact"/>
      </w:pPr>
      <w:r>
        <w:t xml:space="preserve">EAC(C) = 137 + 272 =</w:t>
      </w:r>
      <w:r>
        <w:t xml:space="preserve"> </w:t>
      </w:r>
      <w:r>
        <w:rPr>
          <w:bCs/>
          <w:b/>
        </w:rPr>
        <w:t xml:space="preserve">409.00 lakh</w:t>
      </w:r>
      <w:r>
        <w:t xml:space="preserve">; ETC 272; VAC −9; overrun</w:t>
      </w:r>
      <w:r>
        <w:t xml:space="preserve"> </w:t>
      </w:r>
      <w:r>
        <w:rPr>
          <w:bCs/>
          <w:b/>
        </w:rPr>
        <w:t xml:space="preserve">2.25%</w:t>
      </w:r>
    </w:p>
    <w:p>
      <w:pPr>
        <w:numPr>
          <w:ilvl w:val="0"/>
          <w:numId w:val="1001"/>
        </w:numPr>
        <w:pStyle w:val="Compact"/>
      </w:pPr>
      <w:r>
        <w:t xml:space="preserve">TCPI to BAC = (400 − 128)/(400 − 137) = 272/263 =</w:t>
      </w:r>
      <w:r>
        <w:t xml:space="preserve"> </w:t>
      </w:r>
      <w:r>
        <w:rPr>
          <w:bCs/>
          <w:b/>
        </w:rPr>
        <w:t xml:space="preserve">1.034221</w:t>
      </w:r>
    </w:p>
    <w:p>
      <w:pPr>
        <w:numPr>
          <w:ilvl w:val="0"/>
          <w:numId w:val="1001"/>
        </w:numPr>
        <w:pStyle w:val="Compact"/>
      </w:pPr>
      <w:r>
        <w:t xml:space="preserve">TCPI to EAC: A = 272/291.125 = 0.934307 (= CPI ✓); B = 272/332.064453 = 0.819118 (= CPI×SPI ✓); C = 272/272 = 1 ✓</w:t>
      </w:r>
    </w:p>
    <w:p>
      <w:pPr>
        <w:pStyle w:val="FirstParagraph"/>
      </w:pPr>
      <w:r>
        <w:rPr>
          <w:bCs/>
          <w:b/>
        </w:rPr>
        <w:t xml:space="preserve">Period 2 — 28-Feb-2026</w:t>
      </w:r>
    </w:p>
    <w:p>
      <w:pPr>
        <w:numPr>
          <w:ilvl w:val="0"/>
          <w:numId w:val="1002"/>
        </w:numPr>
        <w:pStyle w:val="Compact"/>
      </w:pPr>
      <w:r>
        <w:t xml:space="preserve">PV = 80 + 160×0.70 + 120×0.10 + 40×0.10 = 80 + 112 + 12 + 4 =</w:t>
      </w:r>
      <w:r>
        <w:t xml:space="preserve"> </w:t>
      </w:r>
      <w:r>
        <w:rPr>
          <w:bCs/>
          <w:b/>
        </w:rPr>
        <w:t xml:space="preserve">208.00 lakh</w:t>
      </w:r>
    </w:p>
    <w:p>
      <w:pPr>
        <w:numPr>
          <w:ilvl w:val="0"/>
          <w:numId w:val="1002"/>
        </w:numPr>
        <w:pStyle w:val="Compact"/>
      </w:pPr>
      <w:r>
        <w:t xml:space="preserve">EV = 80 + 160×0.55 + 120×0.05 + 40×0.05 = 80 + 88 + 6 + 2 =</w:t>
      </w:r>
      <w:r>
        <w:t xml:space="preserve"> </w:t>
      </w:r>
      <w:r>
        <w:rPr>
          <w:bCs/>
          <w:b/>
        </w:rPr>
        <w:t xml:space="preserve">176.00 lakh</w:t>
      </w:r>
    </w:p>
    <w:p>
      <w:pPr>
        <w:numPr>
          <w:ilvl w:val="0"/>
          <w:numId w:val="1002"/>
        </w:numPr>
        <w:pStyle w:val="Compact"/>
      </w:pPr>
      <w:r>
        <w:t xml:space="preserve">AC = 84 + 98 + 7 + 3 =</w:t>
      </w:r>
      <w:r>
        <w:t xml:space="preserve"> </w:t>
      </w:r>
      <w:r>
        <w:rPr>
          <w:bCs/>
          <w:b/>
        </w:rPr>
        <w:t xml:space="preserve">192.00 lakh</w:t>
      </w:r>
    </w:p>
    <w:p>
      <w:pPr>
        <w:numPr>
          <w:ilvl w:val="0"/>
          <w:numId w:val="1002"/>
        </w:numPr>
        <w:pStyle w:val="Compact"/>
      </w:pPr>
      <w:r>
        <w:t xml:space="preserve">CV =</w:t>
      </w:r>
      <w:r>
        <w:t xml:space="preserve"> </w:t>
      </w:r>
      <w:r>
        <w:rPr>
          <w:bCs/>
          <w:b/>
        </w:rPr>
        <w:t xml:space="preserve">−16.00 lakh</w:t>
      </w:r>
      <w:r>
        <w:t xml:space="preserve">; SV =</w:t>
      </w:r>
      <w:r>
        <w:t xml:space="preserve"> </w:t>
      </w:r>
      <w:r>
        <w:rPr>
          <w:bCs/>
          <w:b/>
        </w:rPr>
        <w:t xml:space="preserve">−32.00 lakh</w:t>
      </w:r>
      <w:r>
        <w:t xml:space="preserve">; CPI = 176/192 =</w:t>
      </w:r>
      <w:r>
        <w:t xml:space="preserve"> </w:t>
      </w:r>
      <w:r>
        <w:rPr>
          <w:bCs/>
          <w:b/>
        </w:rPr>
        <w:t xml:space="preserve">0.916667</w:t>
      </w:r>
      <w:r>
        <w:t xml:space="preserve">; SPI = 176/208 =</w:t>
      </w:r>
      <w:r>
        <w:t xml:space="preserve"> </w:t>
      </w:r>
      <w:r>
        <w:rPr>
          <w:bCs/>
          <w:b/>
        </w:rPr>
        <w:t xml:space="preserve">0.846154</w:t>
      </w:r>
    </w:p>
    <w:p>
      <w:pPr>
        <w:numPr>
          <w:ilvl w:val="0"/>
          <w:numId w:val="1002"/>
        </w:numPr>
        <w:pStyle w:val="Compact"/>
      </w:pPr>
      <w:r>
        <w:t xml:space="preserve">EAC(A) = 400 × 192/176 =</w:t>
      </w:r>
      <w:r>
        <w:t xml:space="preserve"> </w:t>
      </w:r>
      <w:r>
        <w:rPr>
          <w:bCs/>
          <w:b/>
        </w:rPr>
        <w:t xml:space="preserve">436.363636 lakh</w:t>
      </w:r>
      <w:r>
        <w:t xml:space="preserve">; ETC 244.363636; VAC −36.363636; overrun</w:t>
      </w:r>
      <w:r>
        <w:t xml:space="preserve"> </w:t>
      </w:r>
      <w:r>
        <w:rPr>
          <w:bCs/>
          <w:b/>
        </w:rPr>
        <w:t xml:space="preserve">9.090909%</w:t>
      </w:r>
    </w:p>
    <w:p>
      <w:pPr>
        <w:numPr>
          <w:ilvl w:val="0"/>
          <w:numId w:val="1002"/>
        </w:numPr>
        <w:pStyle w:val="Compact"/>
      </w:pPr>
      <w:r>
        <w:t xml:space="preserve">EAC(B): CPI×SPI = 30,976/39,936 = 0.775641; 224/0.775641 = 224×39,936/30,976 =</w:t>
      </w:r>
      <w:r>
        <w:t xml:space="preserve"> </w:t>
      </w:r>
      <w:r>
        <w:rPr>
          <w:bCs/>
          <w:b/>
        </w:rPr>
        <w:t xml:space="preserve">288.793388</w:t>
      </w:r>
      <w:r>
        <w:t xml:space="preserve">; EAC(B) =</w:t>
      </w:r>
      <w:r>
        <w:t xml:space="preserve"> </w:t>
      </w:r>
      <w:r>
        <w:rPr>
          <w:bCs/>
          <w:b/>
        </w:rPr>
        <w:t xml:space="preserve">480.793388 lakh</w:t>
      </w:r>
      <w:r>
        <w:t xml:space="preserve">; overrun</w:t>
      </w:r>
      <w:r>
        <w:t xml:space="preserve"> </w:t>
      </w:r>
      <w:r>
        <w:rPr>
          <w:bCs/>
          <w:b/>
        </w:rPr>
        <w:t xml:space="preserve">20.198347%</w:t>
      </w:r>
    </w:p>
    <w:p>
      <w:pPr>
        <w:numPr>
          <w:ilvl w:val="0"/>
          <w:numId w:val="1002"/>
        </w:numPr>
        <w:pStyle w:val="Compact"/>
      </w:pPr>
      <w:r>
        <w:t xml:space="preserve">EAC(C) = 192 + 224 =</w:t>
      </w:r>
      <w:r>
        <w:t xml:space="preserve"> </w:t>
      </w:r>
      <w:r>
        <w:rPr>
          <w:bCs/>
          <w:b/>
        </w:rPr>
        <w:t xml:space="preserve">416.00 lakh</w:t>
      </w:r>
      <w:r>
        <w:t xml:space="preserve">; overrun</w:t>
      </w:r>
      <w:r>
        <w:t xml:space="preserve"> </w:t>
      </w:r>
      <w:r>
        <w:rPr>
          <w:bCs/>
          <w:b/>
        </w:rPr>
        <w:t xml:space="preserve">4.00%</w:t>
      </w:r>
    </w:p>
    <w:p>
      <w:pPr>
        <w:numPr>
          <w:ilvl w:val="0"/>
          <w:numId w:val="1002"/>
        </w:numPr>
        <w:pStyle w:val="Compact"/>
      </w:pPr>
      <w:r>
        <w:t xml:space="preserve">TCPI to BAC = 224/208 =</w:t>
      </w:r>
      <w:r>
        <w:t xml:space="preserve"> </w:t>
      </w:r>
      <w:r>
        <w:rPr>
          <w:bCs/>
          <w:b/>
        </w:rPr>
        <w:t xml:space="preserve">1.076923</w:t>
      </w:r>
    </w:p>
    <w:p>
      <w:pPr>
        <w:pStyle w:val="FirstParagraph"/>
      </w:pPr>
      <w:r>
        <w:rPr>
          <w:bCs/>
          <w:b/>
        </w:rPr>
        <w:t xml:space="preserve">Weighting check.</w:t>
      </w:r>
      <w:r>
        <w:t xml:space="preserve"> </w:t>
      </w:r>
      <w:r>
        <w:t xml:space="preserve">An unweighted average of Period 2 actual percentages, (100+55+5+5)/4 = 41.25%, would give EV = 165 lakh — ₹11 lakh (6.3%) below the correct budget-weighted 176 lakh. The dashboard must give 176.</w:t>
      </w:r>
    </w:p>
    <w:p>
      <w:pPr>
        <w:pStyle w:val="BodyText"/>
      </w:pPr>
      <w:r>
        <w:rPr>
          <w:bCs/>
          <w:b/>
        </w:rPr>
        <w:t xml:space="preserve">Independent cross-checks of the paper working.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benchmark/independent_benchmark_calc.py</w:t>
      </w:r>
      <w:r>
        <w:t xml:space="preserve"> </w:t>
      </w:r>
      <w:r>
        <w:t xml:space="preserve">recomputes everything with exact fractions and imports no dashboard code (enforced by a test that inspects its import statements); (b)</w:t>
      </w:r>
      <w:r>
        <w:t xml:space="preserve"> </w:t>
      </w:r>
      <w:r>
        <w:rPr>
          <w:rStyle w:val="VerbatimChar"/>
        </w:rPr>
        <w:t xml:space="preserve">benchmark/benchmark_workbook.xlsx</w:t>
      </w:r>
      <w:r>
        <w:t xml:space="preserve"> </w:t>
      </w:r>
      <w:r>
        <w:t xml:space="preserve">computes the same with plain spreadsheet formulas (73 formulas, recalculated in LibreOffice, 0 errors). All three agree to the last digit shown above.</w:t>
      </w:r>
    </w:p>
    <w:bookmarkEnd w:id="23"/>
    <w:bookmarkStart w:id="24" w:name="dashboard-calculation-procedure"/>
    <w:p>
      <w:pPr>
        <w:pStyle w:val="Heading1"/>
      </w:pPr>
      <w:r>
        <w:t xml:space="preserve">5. Dashboard calculation procedure</w:t>
      </w:r>
    </w:p>
    <w:p>
      <w:pPr>
        <w:pStyle w:val="FirstParagraph"/>
      </w:pPr>
      <w:r>
        <w:t xml:space="preserve">The dashboard values were produced through the same path a user follows: read the CSV → map columns → validate → derive PV/EV/AC → calculate (</w:t>
      </w:r>
      <w:r>
        <w:rPr>
          <w:rStyle w:val="VerbatimChar"/>
        </w:rPr>
        <w:t xml:space="preserve">tests/test_benchmark.py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benchmark/compare_with_dashboard.py</w:t>
      </w:r>
      <w:r>
        <w:t xml:space="preserve">). The same project was also entered (i) as pre-calculated PV/EV/AC and (ii) as project-level percentages (36.5%/32% and 52%/44%), to check the three input modes agree. In the browser, the benchmark PV/EV/AC were entered through the manual-entry table and loaded; the Overview showed CPI 0.917, SPI 0.846, EAC(A) ₹436.36 lakh and TCPI 1.077 for Period 2, matching Section 4.</w:t>
      </w:r>
    </w:p>
    <w:bookmarkEnd w:id="24"/>
    <w:bookmarkStart w:id="25" w:name="comparison"/>
    <w:p>
      <w:pPr>
        <w:pStyle w:val="Heading1"/>
      </w:pPr>
      <w:r>
        <w:t xml:space="preserve">6. Comparison</w:t>
      </w:r>
    </w:p>
    <w:p>
      <w:pPr>
        <w:pStyle w:val="FirstParagraph"/>
      </w:pPr>
      <w:r>
        <w:rPr>
          <w:bCs/>
          <w:b/>
        </w:rPr>
        <w:t xml:space="preserve">Tolerances:</w:t>
      </w:r>
      <w:r>
        <w:t xml:space="preserve"> </w:t>
      </w:r>
      <w:r>
        <w:t xml:space="preserve">money ±₹0.01 (one paisa); indices ±1×10⁻⁹; percentages ±1×10⁻⁷. Values were compared at full precision — no rounding before comparison.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work_package</w:t>
      </w:r>
      <w:r>
        <w:t xml:space="preserve"> </w:t>
      </w:r>
      <w:r>
        <w:t xml:space="preserve">input mode: 54 values compared, 54 PASS, 0 FAIL; max |difference| = 7.45e-09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precalc</w:t>
      </w:r>
      <w:r>
        <w:t xml:space="preserve"> </w:t>
      </w:r>
      <w:r>
        <w:t xml:space="preserve">input mode: 54 values compared, 54 PASS, 0 FAIL; max |difference| = 7.45e-09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progress</w:t>
      </w:r>
      <w:r>
        <w:t xml:space="preserve"> </w:t>
      </w:r>
      <w:r>
        <w:t xml:space="preserve">input mode: 54 values compared, 54 PASS, 0 FAIL; max |difference| = 7.45e-09</w:t>
      </w:r>
    </w:p>
    <w:p>
      <w:pPr>
        <w:pStyle w:val="FirstParagraph"/>
      </w:pPr>
      <w:r>
        <w:t xml:space="preserve">Full table (work-package input mode; the other two modes give identical results):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848"/>
        <w:gridCol w:w="848"/>
        <w:gridCol w:w="1131"/>
        <w:gridCol w:w="1131"/>
        <w:gridCol w:w="1131"/>
        <w:gridCol w:w="1131"/>
        <w:gridCol w:w="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Manual result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Dashboard result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40,000,000.0000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40,000,000.0000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14,600,000.0000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14,600,000.0000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12,800,000.0000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12,800,000.0000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13,700,000.0000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13,700,000.0000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0.9343065693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0.9343065693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4.31e-11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0.8767123288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0.8767123288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-3.29e-11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1.0342205323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1.0342205323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1.94e-11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29,112,500.0000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29,112,500.0000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2,812,500.0000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7.03125000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7.03125000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0.9343065693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0.9343065693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4.31e-11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33,206,445.3125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33,206,445.3125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6,906,445.3125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17.26611328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17.26611328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5.00e-11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0.8191180882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0.8191180882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-8.82e-12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27,200,000.0000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27,200,000.0000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2.25000000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2.25000000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2026-01-31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1.0000000000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1.0000000000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40,000,000.0000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40,000,000.0000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20,800,000.0000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20,800,000.0000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17,600,000.0000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17,600,000.0000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19,200,000.0000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19,200,000.0000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-3,200,000.0000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0.9166666667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0.9166666667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-3.33e-11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0.8461538462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0.8461538462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-4.62e-11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TCPI_BAC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1.0769230769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1.0769230769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2.31e-11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7.45e-09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24,436,363.6364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24,436,363.6364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-4.66e-09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3,636,363.6364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4.66e-09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9.09090909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9.09090909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9.10e-12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0.9166666667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0.9166666667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-3.33e-11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7.45e-09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28,879,338.8430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28,879,338.8430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7.45e-09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-7.45e-09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8,079,338.8430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7.45e-09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20.19834711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20.19834711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3.80e-11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0.7756410256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0.7756410256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4.10e-11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22,400,000.0000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22,400,000.0000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1,600,000.0000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OVERRUN_PCT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4.00000000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TCPI_EAC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2026-02-28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1.0000000000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1.0000000000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</w:tbl>
    <w:bookmarkEnd w:id="25"/>
    <w:bookmarkStart w:id="26" w:name="discrepancies-and-defects-found"/>
    <w:p>
      <w:pPr>
        <w:pStyle w:val="Heading1"/>
      </w:pPr>
      <w:r>
        <w:t xml:space="preserve">7. Discrepancies and defects found</w:t>
      </w:r>
    </w:p>
    <w:p>
      <w:pPr>
        <w:pStyle w:val="FirstParagraph"/>
      </w:pPr>
      <w:r>
        <w:t xml:space="preserve">No numerical discrepancy was found between the manual benchmark and the dashboard (maximum |difference| = ₹7.5×10⁻⁹, floating-point representation). Because a first-run match does not prove the tests can detect errors, mutation testing was performed (Section 12). The following genuine defects and findings arose during development and testing: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Found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Defect /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 test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expected file independent of src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failed although the benchmark script imports nothing from the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 searched the text 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from src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matched a phrase in the script’s docstring (defect in the test, not the 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 rewritten to inspect actual import statements (AST)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Browser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After a rejected upload, the next (valid) file loaded under the project name typed for the rejected file, not the name in the new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Settings widgets kept their state across files (same widget keys)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Widgets keyed to the specific file and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Pass: second upload took the file’s own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Browser test (screenshot review)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non-numeric AC produced two errors for one cell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not a number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missing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Missing-value check re-flagged a cell already rejected by parsing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Missing check skips cells already in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Pass: 5 errors instead of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Screenshot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warning named the internal field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planned_pct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instead of the user’s column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planned_progress_pct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Internal column name passed as field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Mapped to user-facing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Progress-based demo file EV for 31-Aug-2026 = ₹7,02,50,000.40 vs ₹7,02,50,000 from WP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Percentages stored to 6 decimals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a code defect; documented as limitation (rounded % inputs lose precision)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Screenshot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Signboard clipped, KPI labels truncated, BAC/EAC chart labels overlapping, CPI/SPI axis cutting off the 1.00 line, preview dates showing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00:00:00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Layout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Labels shortened, annotations repositioned, axis range includes 1.00 and the critical line, dates formatted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 (screenshots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reports/screenshots/</w:t>
            </w:r>
            <w:r>
              <w:rPr>
                <w:sz w:val="18"/>
              </w:rPr>
              <w:t xml:space="preserve">)</w:t>
            </w:r>
          </w:p>
        </w:tc>
      </w:tr>
    </w:tbl>
    <w:bookmarkEnd w:id="26"/>
    <w:bookmarkStart w:id="27" w:name="root-causes-corrections-and-retest"/>
    <w:p>
      <w:pPr>
        <w:pStyle w:val="Heading1"/>
      </w:pPr>
      <w:r>
        <w:t xml:space="preserve">8–10. Root causes, corrections and retest</w:t>
      </w:r>
    </w:p>
    <w:p>
      <w:pPr>
        <w:pStyle w:val="FirstParagraph"/>
      </w:pPr>
      <w:r>
        <w:t xml:space="preserve">Given per defect in Section 7. After all corrections the complete suite was rerun:</w:t>
      </w:r>
      <w:r>
        <w:t xml:space="preserve"> </w:t>
      </w:r>
      <w:r>
        <w:rPr>
          <w:bCs/>
          <w:b/>
        </w:rPr>
        <w:t xml:space="preserve">79 passed, 0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reports/test_results.txt</w:t>
      </w:r>
      <w:r>
        <w:t xml:space="preserve">), and the browser run was repeated (</w:t>
      </w:r>
      <w:r>
        <w:rPr>
          <w:rStyle w:val="VerbatimChar"/>
        </w:rPr>
        <w:t xml:space="preserve">reports/browser_test_log.txt</w:t>
      </w:r>
      <w:r>
        <w:t xml:space="preserve">).</w:t>
      </w:r>
    </w:p>
    <w:bookmarkEnd w:id="27"/>
    <w:bookmarkStart w:id="28" w:name="edge-case-and-workflow-testing"/>
    <w:p>
      <w:pPr>
        <w:pStyle w:val="Heading1"/>
      </w:pPr>
      <w:r>
        <w:t xml:space="preserve">11. Edge-case and workflow testing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Expected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CPI undefined (not 0), reason shown; CV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test_cpi_undefined_when_ac_zero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PV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 undefined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test_spi_undefined_when_pv_zero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CPI = 0; EAC A and B undefined; C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test_zero_earned_value_…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 = BAC with work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 to BAC undefined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longer possible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test_tcpi_bac_undefined_when_ac_equals_bac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 &gt; 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 to BAC undefined, never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test_tcpi_bac_undefined_when_budget_exceeded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 below / above 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VAC positive /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test_eac_below_bac…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test_eac_above_bac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Project complete (EV = PV = BAC)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 = 1, ETC = 0, TCPI 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test_project_completion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Missing reporting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Warning; chart line broken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test_missing_monthly_period…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with_gap_breaks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Negative cumulative AC / 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Blocking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test_negative_cumulative_ac_is_error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test_missing_project_name_and_bad_bac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Progress &lt; 0 or &gt;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Blocking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test_progress_out_of_range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Decreasing cumulative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Warning, value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test_decreasing_cumulative_progress…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 with no new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test_cost_without_progress_is_not_an_error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Cumulative and period AC inconsistent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Warning; cumulative used, never summed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test_cumulative_and_period_ac_inconsistent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Missing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Error, never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test_missing_value_is_error_not_zero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Unweighted WP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Budget-weighted EV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test_work_package_ev_is_budget_weighted…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All 4 forecast methods, all 9 dates, all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Render without error; method 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N/A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until ETC entered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tests/test_app.py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Invalid file upload (browser)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Errors listed by row; no load button; current project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browser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 CSV upload (browser)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Loads after confirmation; CPI 0.947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browser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 entry → load (browser)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Benchmark P2 values reproduced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browser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Editing a single cell in the manual table (browser)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Edit re-validates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 edit did not register in the canvas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Not verified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team to check by hand (2 min): change an AC to −5 and confirm a blocking error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Upload ↔ manual entry equivalence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Identical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test_manual_entry_and_upload_give_identical_results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Older library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Suite passes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pandas 2.2.3 / Streamlit 1.50 / Plotly 5.24 venv: 79 passed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</w:t>
            </w:r>
          </w:p>
        </w:tc>
      </w:tr>
    </w:tbl>
    <w:bookmarkEnd w:id="28"/>
    <w:bookmarkStart w:id="29" w:name="X1fe3b8a3f1b0f6cca1cb392106749cbb9387dcd"/>
    <w:p>
      <w:pPr>
        <w:pStyle w:val="Heading1"/>
      </w:pPr>
      <w:r>
        <w:t xml:space="preserve">12. Mutation testing (can the tests catch typical errors?)</w:t>
      </w:r>
    </w:p>
    <w:p>
      <w:pPr>
        <w:pStyle w:val="FirstParagraph"/>
      </w:pPr>
      <w:r>
        <w:t xml:space="preserve">Each error below was injected into a temporary copy of the code; the suite was run; the copy discarded.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Injected error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Tests failing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SPI inverted (PV/EV)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CV sign reversed (AC − EV)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EAC(B) written as BAC/(CPI×SPI)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TCPI to BAC forced to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 from an unweighted average of WP percentages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Period AC used as if cumulative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CPI returned as 0 when AC =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pStyle w:val="BodyText"/>
      </w:pPr>
      <w:r>
        <w:t xml:space="preserve">All seven were detected.</w:t>
      </w:r>
    </w:p>
    <w:bookmarkEnd w:id="29"/>
    <w:bookmarkStart w:id="30" w:name="remaining-limitations-of-the-validation"/>
    <w:p>
      <w:pPr>
        <w:pStyle w:val="Heading1"/>
      </w:pPr>
      <w:r>
        <w:t xml:space="preserve">13. Remaining limitations of the validation</w:t>
      </w:r>
    </w:p>
    <w:p>
      <w:pPr>
        <w:numPr>
          <w:ilvl w:val="0"/>
          <w:numId w:val="1004"/>
        </w:numPr>
        <w:pStyle w:val="Compact"/>
      </w:pPr>
      <w:r>
        <w:t xml:space="preserve">One synthetic benchmark (two periods) — not a real project; practitioner review is still recommended.</w:t>
      </w:r>
    </w:p>
    <w:p>
      <w:pPr>
        <w:numPr>
          <w:ilvl w:val="0"/>
          <w:numId w:val="1004"/>
        </w:numPr>
        <w:pStyle w:val="Compact"/>
      </w:pPr>
      <w:r>
        <w:t xml:space="preserve">Method D (independent ETC) is checked by unit and interface tests, not by the paper benchmark (it is a user input, not a formula).</w:t>
      </w:r>
    </w:p>
    <w:p>
      <w:pPr>
        <w:numPr>
          <w:ilvl w:val="0"/>
          <w:numId w:val="1004"/>
        </w:numPr>
        <w:pStyle w:val="Compact"/>
      </w:pPr>
      <w:r>
        <w:t xml:space="preserve">Charts and commentary were checked by inspection and interface tests, not against an independent reference.</w:t>
      </w:r>
    </w:p>
    <w:p>
      <w:pPr>
        <w:numPr>
          <w:ilvl w:val="0"/>
          <w:numId w:val="1004"/>
        </w:numPr>
        <w:pStyle w:val="Compact"/>
      </w:pPr>
      <w:r>
        <w:t xml:space="preserve">Manual-table cell editing in the browser not verified by automation (Section 11).</w:t>
      </w:r>
    </w:p>
    <w:bookmarkEnd w:id="30"/>
    <w:bookmarkStart w:id="31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For the benchmark case, all 54 benchmark values per input mode (162 comparisons) match the independently prepared results within one paisa / 10⁻⁹, with no discrepancies; undefined and edge cases are reported as undefined or flagged rather than shown as numbers; and the test suite detects all seven typical formula errors injected. Subject to the team’s own paper verification (Section 15), the calculation engine is considered validated for the scope tested.</w:t>
      </w:r>
    </w:p>
    <w:bookmarkEnd w:id="31"/>
    <w:bookmarkStart w:id="32" w:name="team-verification-sign-off"/>
    <w:p>
      <w:pPr>
        <w:pStyle w:val="Heading1"/>
      </w:pPr>
      <w:r>
        <w:t xml:space="preserve">15. Team verification sign-off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Done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Period 1 recalculated on paper without the tool; matches Section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Period 2 recalculated on paper without the tool; matches Section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python -m pytest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run on a team laptop: 79 passed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Manual-table cell edit check (Section 11) done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Any discrepancy found by the team recorded here and in the AI usage 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sectPr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EVM Dashboard — Validation Report</dc:title>
  <dc:creator/>
  <cp:keywords/>
  <dcterms:created xsi:type="dcterms:W3CDTF">2026-10-21T14:01:13Z</dcterms:created>
  <dcterms:modified xsi:type="dcterms:W3CDTF">2026-10-21T14:01:13Z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CE 725 Construction Economics and Finance · Course project, Topic 7</vt:lpwstr>
  </property>
</Properties>
</file>