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demopack.CentralTraffic;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AustralianTrafic implements CentralTraffic,ContinentalTraffic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CentralTraffic a= new AustralianTrafic();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a.redStop();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a.FlashYellow();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a.greenGo();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AustralianTrafic at=new AustralianTrafic();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ContinentalTraffic ct=new AustralianTrafic();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at.walkonsymbol();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ct.Trainsymbol();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redStop()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redstop implementation");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walkonsymbol()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System.out.println("walking");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FlashYellow()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flash yellow implementation");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//code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greenGo()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 Green go implementation");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Trainsymbol()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//CentralTraffic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demopack;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interface CentralTraffic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a=4;//public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greenGo();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redStop();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FlashYellow();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//ContinentalTraffic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interface ContinentalTraffic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void Trainsymbol();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FA3A3C8-06B2-40B0-8F71-5BCA65CA9BEF}"/>
</file>

<file path=customXml/itemProps2.xml><?xml version="1.0" encoding="utf-8"?>
<ds:datastoreItem xmlns:ds="http://schemas.openxmlformats.org/officeDocument/2006/customXml" ds:itemID="{70B9C58D-21B0-4AFD-A3D1-02D6B61F6F4B}"/>
</file>

<file path=customXml/itemProps3.xml><?xml version="1.0" encoding="utf-8"?>
<ds:datastoreItem xmlns:ds="http://schemas.openxmlformats.org/officeDocument/2006/customXml" ds:itemID="{5CDCEFDF-161A-46C0-BDAA-C736651A640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