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066800"/>
            <wp:effectExtent b="0" l="0" r="0" t="0"/>
            <wp:docPr descr="5050 RGB LED Lamp Panel 1/4/7/8/16/24 Bit LED Board WS2812/WS2812B" id="1" name="image1.jpg"/>
            <a:graphic>
              <a:graphicData uri="http://schemas.openxmlformats.org/drawingml/2006/picture">
                <pic:pic>
                  <pic:nvPicPr>
                    <pic:cNvPr descr="5050 RGB LED Lamp Panel 1/4/7/8/16/24 Bit LED Board WS2812/WS2812B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5050 RGB LED Lamp Panel 1/4/7/8/16/24 Bit LED Board WS2812/WS2812B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features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Intelligent reverse polarity protection, power supply reverse polarity will not damage the IC.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IC control circuit and a power LED spot light utility.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Control circuit chip with RGB components in a package in 5050, to form a complete external control pixels.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built-in signal shaping circuit, any one pixel after receiving the signal through the waveform shaping and then output to ensure line waveform distortion will not accumulate.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Built-in power-on reset and brown-out reset circuit.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trichromatic color of each pixel can realize 256 highlighted, complete 16777216 colors of all true color display, the scanning frequency is not less than 400Hz / 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serial cascade interface, through a signal line to complete the receiving and decoding of data.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transfer transmission distance between any two points in less than 5 meters without any additional circuitry.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When the refresh rate of 30 frames / sec, cascading number of not less than 1024 points.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data transmission speeds of up to 800Kbps.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 The color of the light highly consistent, cost-effective.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