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f00fd"/>
          <w:sz w:val="24"/>
          <w:szCs w:val="24"/>
          <w:highlight w:val="white"/>
        </w:rPr>
      </w:pPr>
      <w:r w:rsidDel="00000000" w:rsidR="00000000" w:rsidRPr="00000000">
        <w:rPr>
          <w:b w:val="1"/>
          <w:color w:val="ef00fd"/>
          <w:sz w:val="24"/>
          <w:szCs w:val="24"/>
          <w:highlight w:val="white"/>
          <w:rtl w:val="0"/>
        </w:rPr>
        <w:t xml:space="preserve">Al (LC) programmable full-color RGB LED lights color light modulator PWM control panel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2" w:lineRule="auto"/>
        <w:rPr>
          <w:b w:val="1"/>
          <w:color w:val="ef00f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Product description: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1.on-board high-performance microcontroller chips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2.on-board three way MOSFET tube, respectively control the RGB tricolor LED lights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3.on-board power LED lights and reset buttons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4.on-board the input and output power socket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5.on-board serial port communication interface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6.panel power supply voltage: 3.3-5.0 V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7.PCB size: 37.2 (mm) x22.5 (mm)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LED panel default communication baud rate: 9600 BPS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The LED panel communication protocol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Data (1) - startup logo (the default is 0 x1f)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Data (2) - channel number (1: red, 2: green, 3: blue)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Data (3) - brightness value (0-100%)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Data (4) - check code (the sum of the top three data)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Ex. 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to auto lamp: 1 00 00 f 1 f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The red lamp 1% brightness: 1 f 01 01 21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The red lamp 50% brightness: 1 f 01 32 52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The red lamp 99% brightness: 1 f 01, 63, 83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green light 1% brightness: 1 f 02 01 22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green light 50% brightness: 1 f 02 32 53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green light 99% brightness: 1 f 02 63 84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blue light 1% brightness: 1 f 03 01 23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blue light 50% brightness: 1 f 03 32, 54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90fb3"/>
          <w:sz w:val="24"/>
          <w:szCs w:val="24"/>
          <w:highlight w:val="white"/>
        </w:rPr>
      </w:pPr>
      <w:r w:rsidDel="00000000" w:rsidR="00000000" w:rsidRPr="00000000">
        <w:rPr>
          <w:b w:val="1"/>
          <w:color w:val="090fb3"/>
          <w:sz w:val="24"/>
          <w:szCs w:val="24"/>
          <w:highlight w:val="white"/>
          <w:rtl w:val="0"/>
        </w:rPr>
        <w:t xml:space="preserve">Set the blue light 99% brightness: 1 f 03, 63, 85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