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very good information about hacking the Wowwee Tribot robot toy.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https://en.wikiversity.org/wiki/Tri-BotHack</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I was most interested in at this point is for the HEAD: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Purple is 4v - (3v from the arduino works too)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is connected to the left eye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is connected to the right eye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is connected to the right ear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is connected to the left ear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is connected to mouth “M”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Brown is connected to the mouth “r” (right?)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motor, and a headlight. These are on the other connector, but I’m not sure of the wiring for them.  Also in this connector is the mouth “l” (left?) I think.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motor pops the head up/head light up - and retracts it.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some point I did try the motor, and it worked, but I never wrote down which wires are which….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maybe the two “heavyier wires”. You do have to time it good because there are no stops on it, so it will contiune to try to pop up or down as long as there is power.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thing to know is about the encoders on the wheels.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wiki brown is ground, red is 5v, and orange is pulses about .25 ms long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one of my wheels had these color wires, hopefully it will be easy to trace the other wheels back using this information.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not tried my wheels yet, or the encoders, so I don’t know if this information is right or not.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versity.org/wiki/Tri-Bot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