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222222"/>
          <w:sz w:val="19"/>
          <w:szCs w:val="19"/>
          <w:highlight w:val="white"/>
        </w:rPr>
      </w:pPr>
      <w:r w:rsidDel="00000000" w:rsidR="00000000" w:rsidRPr="00000000">
        <w:rPr>
          <w:color w:val="222222"/>
          <w:sz w:val="19"/>
          <w:szCs w:val="19"/>
          <w:highlight w:val="white"/>
          <w:rtl w:val="0"/>
        </w:rPr>
        <w:t xml:space="preserve">Adding breadboard friendly terminals to the load cells cables:</w:t>
      </w:r>
    </w:p>
    <w:p w:rsidR="00000000" w:rsidDel="00000000" w:rsidP="00000000" w:rsidRDefault="00000000" w:rsidRPr="00000000" w14:paraId="00000002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/>
        <w:drawing>
          <wp:inline distB="114300" distT="114300" distL="114300" distR="114300">
            <wp:extent cx="5943600" cy="41783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222222"/>
          <w:sz w:val="19"/>
          <w:szCs w:val="19"/>
          <w:highlight w:val="white"/>
        </w:rPr>
      </w:pPr>
      <w:r w:rsidDel="00000000" w:rsidR="00000000" w:rsidRPr="00000000">
        <w:rPr>
          <w:color w:val="222222"/>
          <w:sz w:val="19"/>
          <w:szCs w:val="19"/>
          <w:highlight w:val="white"/>
          <w:rtl w:val="0"/>
        </w:rPr>
        <w:t xml:space="preserve">This assembly is not good for multiple weight measurement points (two points are used in this project).</w:t>
      </w:r>
    </w:p>
    <w:p w:rsidR="00000000" w:rsidDel="00000000" w:rsidP="00000000" w:rsidRDefault="00000000" w:rsidRPr="00000000" w14:paraId="00000005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222222"/>
          <w:sz w:val="19"/>
          <w:szCs w:val="19"/>
          <w:highlight w:val="white"/>
        </w:rPr>
      </w:pPr>
      <w:r w:rsidDel="00000000" w:rsidR="00000000" w:rsidRPr="00000000">
        <w:rPr>
          <w:color w:val="222222"/>
          <w:sz w:val="19"/>
          <w:szCs w:val="19"/>
          <w:highlight w:val="white"/>
          <w:rtl w:val="0"/>
        </w:rPr>
        <w:t xml:space="preserve">Any misalignment  produces forces in the load cells faking the weight measurement...</w:t>
      </w:r>
    </w:p>
    <w:p w:rsidR="00000000" w:rsidDel="00000000" w:rsidP="00000000" w:rsidRDefault="00000000" w:rsidRPr="00000000" w14:paraId="00000006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222222"/>
          <w:sz w:val="19"/>
          <w:szCs w:val="19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222222"/>
          <w:sz w:val="19"/>
          <w:szCs w:val="19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222222"/>
          <w:sz w:val="19"/>
          <w:szCs w:val="19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222222"/>
          <w:sz w:val="19"/>
          <w:szCs w:val="19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222222"/>
          <w:sz w:val="19"/>
          <w:szCs w:val="19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222222"/>
          <w:sz w:val="19"/>
          <w:szCs w:val="19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222222"/>
          <w:sz w:val="19"/>
          <w:szCs w:val="19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222222"/>
          <w:sz w:val="19"/>
          <w:szCs w:val="19"/>
          <w:highlight w:val="white"/>
        </w:rPr>
      </w:pPr>
      <w:r w:rsidDel="00000000" w:rsidR="00000000" w:rsidRPr="00000000">
        <w:rPr>
          <w:color w:val="222222"/>
          <w:sz w:val="19"/>
          <w:szCs w:val="19"/>
          <w:highlight w:val="white"/>
          <w:rtl w:val="0"/>
        </w:rPr>
        <w:t xml:space="preserve">We need pivot points:</w:t>
      </w:r>
    </w:p>
    <w:p w:rsidR="00000000" w:rsidDel="00000000" w:rsidP="00000000" w:rsidRDefault="00000000" w:rsidRPr="00000000" w14:paraId="00000012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222222"/>
          <w:sz w:val="19"/>
          <w:szCs w:val="19"/>
          <w:highlight w:val="white"/>
        </w:rPr>
      </w:pPr>
      <w:r w:rsidDel="00000000" w:rsidR="00000000" w:rsidRPr="00000000">
        <w:rPr>
          <w:color w:val="222222"/>
          <w:sz w:val="19"/>
          <w:szCs w:val="19"/>
          <w:highlight w:val="white"/>
        </w:rPr>
        <w:drawing>
          <wp:inline distB="114300" distT="114300" distL="114300" distR="114300">
            <wp:extent cx="5943600" cy="27051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222222"/>
          <w:sz w:val="19"/>
          <w:szCs w:val="19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222222"/>
          <w:sz w:val="19"/>
          <w:szCs w:val="19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222222"/>
          <w:sz w:val="19"/>
          <w:szCs w:val="19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222222"/>
          <w:sz w:val="19"/>
          <w:szCs w:val="19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222222"/>
          <w:sz w:val="19"/>
          <w:szCs w:val="19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222222"/>
          <w:sz w:val="19"/>
          <w:szCs w:val="19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222222"/>
          <w:sz w:val="19"/>
          <w:szCs w:val="19"/>
          <w:highlight w:val="white"/>
        </w:rPr>
      </w:pPr>
      <w:r w:rsidDel="00000000" w:rsidR="00000000" w:rsidRPr="00000000">
        <w:rPr>
          <w:color w:val="222222"/>
          <w:sz w:val="19"/>
          <w:szCs w:val="19"/>
          <w:highlight w:val="white"/>
          <w:rtl w:val="0"/>
        </w:rPr>
        <w:t xml:space="preserve">​Soon more news about the "Train Location on the Bridge" project.</w:t>
      </w:r>
    </w:p>
    <w:p w:rsidR="00000000" w:rsidDel="00000000" w:rsidP="00000000" w:rsidRDefault="00000000" w:rsidRPr="00000000" w14:paraId="0000001A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222222"/>
          <w:sz w:val="19"/>
          <w:szCs w:val="19"/>
          <w:highlight w:val="white"/>
        </w:rPr>
      </w:pPr>
      <w:r w:rsidDel="00000000" w:rsidR="00000000" w:rsidRPr="00000000">
        <w:rPr>
          <w:color w:val="222222"/>
          <w:sz w:val="19"/>
          <w:szCs w:val="19"/>
          <w:highlight w:val="white"/>
          <w:rtl w:val="0"/>
        </w:rPr>
        <w:t xml:space="preserve">Back to the woodworking  stage.</w:t>
      </w:r>
    </w:p>
    <w:p w:rsidR="00000000" w:rsidDel="00000000" w:rsidP="00000000" w:rsidRDefault="00000000" w:rsidRPr="00000000" w14:paraId="0000001B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222222"/>
          <w:sz w:val="19"/>
          <w:szCs w:val="19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222222"/>
          <w:sz w:val="19"/>
          <w:szCs w:val="19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/>
        <w:drawing>
          <wp:inline distB="114300" distT="114300" distL="114300" distR="114300">
            <wp:extent cx="5943600" cy="20447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222222"/>
          <w:sz w:val="19"/>
          <w:szCs w:val="19"/>
          <w:highlight w:val="white"/>
        </w:rPr>
      </w:pPr>
      <w:r w:rsidDel="00000000" w:rsidR="00000000" w:rsidRPr="00000000">
        <w:rPr>
          <w:color w:val="222222"/>
          <w:sz w:val="19"/>
          <w:szCs w:val="19"/>
          <w:highlight w:val="white"/>
          <w:rtl w:val="0"/>
        </w:rPr>
        <w:t xml:space="preserve">​The Hx711 library only use one channel of the IC.</w:t>
      </w:r>
    </w:p>
    <w:p w:rsidR="00000000" w:rsidDel="00000000" w:rsidP="00000000" w:rsidRDefault="00000000" w:rsidRPr="00000000" w14:paraId="00000020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color w:val="222222"/>
          <w:sz w:val="19"/>
          <w:szCs w:val="19"/>
          <w:highlight w:val="white"/>
          <w:rtl w:val="0"/>
        </w:rPr>
        <w:t xml:space="preserve">I will making some changes to the library to use both channels...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/>
        <w:drawing>
          <wp:inline distB="114300" distT="114300" distL="114300" distR="114300">
            <wp:extent cx="5943600" cy="5765800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6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ageBreakBefore w:val="0"/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3.png"/><Relationship Id="rId10" Type="http://schemas.openxmlformats.org/officeDocument/2006/relationships/image" Target="media/image5.png"/><Relationship Id="rId9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7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