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Segoe UI" w:cs="Segoe UI" w:eastAsia="Segoe UI" w:hAnsi="Segoe UI"/>
          <w:b/>
          <w:bCs/>
          <w:color w:val="6B7A8F"/>
          <w:spacing w:val="40"/>
          <w:sz w:val="16"/>
          <w:szCs w:val="16"/>
        </w:rPr>
        <w:t xml:space="preserve">JCPL PURCHASE CONTROL DASHBOARDS</w:t>
      </w:r>
    </w:p>
    <w:p>
      <w:pPr>
        <w:spacing w:after="100"/>
      </w:pPr>
      <w:r>
        <w:rPr>
          <w:rFonts w:ascii="ui-serif, Iowan Old Style, Palatino, serif" w:cs="ui-serif, Iowan Old Style, Palatino, serif" w:eastAsia="ui-serif, Iowan Old Style, Palatino, serif" w:hAnsi="ui-serif, Iowan Old Style, Palatino, serif"/>
          <w:b/>
          <w:bCs/>
          <w:color w:val="1F3A5F"/>
          <w:sz w:val="44"/>
          <w:szCs w:val="44"/>
        </w:rPr>
        <w:t xml:space="preserve">Dashboard 10</w:t>
      </w:r>
    </w:p>
    <w:p>
      <w:pPr>
        <w:spacing w:after="80"/>
      </w:pPr>
      <w:r>
        <w:rPr>
          <w:rFonts w:ascii="ui-serif, Iowan Old Style, Palatino, serif" w:cs="ui-serif, Iowan Old Style, Palatino, serif" w:eastAsia="ui-serif, Iowan Old Style, Palatino, serif" w:hAnsi="ui-serif, Iowan Old Style, Palatino, serif"/>
          <w:color w:val="1F3A5F"/>
          <w:sz w:val="32"/>
          <w:szCs w:val="32"/>
        </w:rPr>
        <w:t xml:space="preserve">Advance Payment &amp; Vendor Exposure</w:t>
      </w:r>
    </w:p>
    <w:p>
      <w:pPr>
        <w:pBdr>
          <w:bottom w:val="single" w:color="E2E7EE" w:sz="4" w:space="8"/>
        </w:pBdr>
        <w:spacing w:after="340"/>
      </w:pPr>
      <w:r>
        <w:rPr>
          <w:rFonts w:ascii="ui-serif, Iowan Old Style, Palatino, serif" w:cs="ui-serif, Iowan Old Style, Palatino, serif" w:eastAsia="ui-serif, Iowan Old Style, Palatino, serif" w:hAnsi="ui-serif, Iowan Old Style, Palatino, serif"/>
          <w:i/>
          <w:iCs/>
          <w:color w:val="141B26"/>
          <w:sz w:val="22"/>
          <w:szCs w:val="22"/>
        </w:rPr>
        <w:t xml:space="preserve">Tally Feed Specification — the data required to build this board.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Borders>
              <w:top w:val="single" w:color="E2E7EE" w:sz="4"/>
              <w:left w:val="none"/>
              <w:bottom w:val="single" w:color="E2E7EE" w:sz="4"/>
              <w:right w:val="none"/>
            </w:tcBorders>
          </w:tcPr>
          <w:p>
            <w:pPr>
              <w:spacing w:after="60" w:before="60"/>
            </w:pPr>
            <w:r>
              <w:rPr>
                <w:rFonts w:ascii="Segoe UI" w:cs="Segoe UI" w:eastAsia="Segoe UI" w:hAnsi="Segoe UI"/>
                <w:b/>
                <w:bCs/>
                <w:color w:val="1F3A5F"/>
                <w:sz w:val="20"/>
                <w:szCs w:val="20"/>
              </w:rPr>
              <w:t xml:space="preserve">For</w:t>
            </w:r>
          </w:p>
        </w:tc>
        <w:tc>
          <w:tcPr>
            <w:tcW w:type="dxa" w:w="6400"/>
            <w:tcBorders>
              <w:top w:val="single" w:color="E2E7EE" w:sz="4"/>
              <w:left w:val="none"/>
              <w:bottom w:val="single" w:color="E2E7EE" w:sz="4"/>
              <w:right w:val="none"/>
            </w:tcBorders>
          </w:tcPr>
          <w:p>
            <w:pPr>
              <w:spacing w:after="60" w:before="60"/>
            </w:pPr>
            <w:r>
              <w:rPr>
                <w:rFonts w:ascii="Segoe UI" w:cs="Segoe UI" w:eastAsia="Segoe UI" w:hAnsi="Segoe UI"/>
                <w:color w:val="141B26"/>
                <w:sz w:val="20"/>
                <w:szCs w:val="20"/>
              </w:rPr>
              <w:t xml:space="preserve">Dharmik — dashboard development, JCPL portal</w:t>
            </w:r>
          </w:p>
        </w:tc>
      </w:tr>
      <w:tr>
        <w:tc>
          <w:tcPr>
            <w:tcW w:type="dxa" w:w="3200"/>
            <w:tcBorders>
              <w:top w:val="single" w:color="E2E7EE" w:sz="4"/>
              <w:left w:val="none"/>
              <w:bottom w:val="single" w:color="E2E7EE" w:sz="4"/>
              <w:right w:val="none"/>
            </w:tcBorders>
          </w:tcPr>
          <w:p>
            <w:pPr>
              <w:spacing w:after="60" w:before="60"/>
            </w:pPr>
            <w:r>
              <w:rPr>
                <w:rFonts w:ascii="Segoe UI" w:cs="Segoe UI" w:eastAsia="Segoe UI" w:hAnsi="Segoe UI"/>
                <w:b/>
                <w:bCs/>
                <w:color w:val="1F3A5F"/>
                <w:sz w:val="20"/>
                <w:szCs w:val="20"/>
              </w:rPr>
              <w:t xml:space="preserve">Board</w:t>
            </w:r>
          </w:p>
        </w:tc>
        <w:tc>
          <w:tcPr>
            <w:tcW w:type="dxa" w:w="6400"/>
            <w:tcBorders>
              <w:top w:val="single" w:color="E2E7EE" w:sz="4"/>
              <w:left w:val="none"/>
              <w:bottom w:val="single" w:color="E2E7EE" w:sz="4"/>
              <w:right w:val="none"/>
            </w:tcBorders>
          </w:tcPr>
          <w:p>
            <w:pPr>
              <w:spacing w:after="60" w:before="60"/>
            </w:pPr>
            <w:r>
              <w:rPr>
                <w:rFonts w:ascii="Segoe UI" w:cs="Segoe UI" w:eastAsia="Segoe UI" w:hAnsi="Segoe UI"/>
                <w:color w:val="141B26"/>
                <w:sz w:val="20"/>
                <w:szCs w:val="20"/>
              </w:rPr>
              <w:t xml:space="preserve">Dashboard 10 — Advance Payment &amp; Vendor Exposure</w:t>
            </w:r>
          </w:p>
        </w:tc>
      </w:tr>
      <w:tr>
        <w:tc>
          <w:tcPr>
            <w:tcW w:type="dxa" w:w="3200"/>
            <w:tcBorders>
              <w:top w:val="single" w:color="E2E7EE" w:sz="4"/>
              <w:left w:val="none"/>
              <w:bottom w:val="single" w:color="E2E7EE" w:sz="4"/>
              <w:right w:val="none"/>
            </w:tcBorders>
          </w:tcPr>
          <w:p>
            <w:pPr>
              <w:spacing w:after="60" w:before="60"/>
            </w:pPr>
            <w:r>
              <w:rPr>
                <w:rFonts w:ascii="Segoe UI" w:cs="Segoe UI" w:eastAsia="Segoe UI" w:hAnsi="Segoe UI"/>
                <w:b/>
                <w:bCs/>
                <w:color w:val="1F3A5F"/>
                <w:sz w:val="20"/>
                <w:szCs w:val="20"/>
              </w:rPr>
              <w:t xml:space="preserve">Group</w:t>
            </w:r>
          </w:p>
        </w:tc>
        <w:tc>
          <w:tcPr>
            <w:tcW w:type="dxa" w:w="6400"/>
            <w:tcBorders>
              <w:top w:val="single" w:color="E2E7EE" w:sz="4"/>
              <w:left w:val="none"/>
              <w:bottom w:val="single" w:color="E2E7EE" w:sz="4"/>
              <w:right w:val="none"/>
            </w:tcBorders>
          </w:tcPr>
          <w:p>
            <w:pPr>
              <w:spacing w:after="60" w:before="60"/>
            </w:pPr>
            <w:r>
              <w:rPr>
                <w:rFonts w:ascii="Segoe UI" w:cs="Segoe UI" w:eastAsia="Segoe UI" w:hAnsi="Segoe UI"/>
                <w:color w:val="141B26"/>
                <w:sz w:val="20"/>
                <w:szCs w:val="20"/>
              </w:rPr>
              <w:t xml:space="preserve">D — Awaiting source data</w:t>
            </w:r>
          </w:p>
        </w:tc>
      </w:tr>
      <w:tr>
        <w:tc>
          <w:tcPr>
            <w:tcW w:type="dxa" w:w="3200"/>
            <w:tcBorders>
              <w:top w:val="single" w:color="E2E7EE" w:sz="4"/>
              <w:left w:val="none"/>
              <w:bottom w:val="single" w:color="E2E7EE" w:sz="4"/>
              <w:right w:val="none"/>
            </w:tcBorders>
          </w:tcPr>
          <w:p>
            <w:pPr>
              <w:spacing w:after="60" w:before="60"/>
            </w:pPr>
            <w:r>
              <w:rPr>
                <w:rFonts w:ascii="Segoe UI" w:cs="Segoe UI" w:eastAsia="Segoe UI" w:hAnsi="Segoe UI"/>
                <w:b/>
                <w:bCs/>
                <w:color w:val="1F3A5F"/>
                <w:sz w:val="20"/>
                <w:szCs w:val="20"/>
              </w:rPr>
              <w:t xml:space="preserve">Status</w:t>
            </w:r>
          </w:p>
        </w:tc>
        <w:tc>
          <w:tcPr>
            <w:tcW w:type="dxa" w:w="6400"/>
            <w:tcBorders>
              <w:top w:val="single" w:color="E2E7EE" w:sz="4"/>
              <w:left w:val="none"/>
              <w:bottom w:val="single" w:color="E2E7EE" w:sz="4"/>
              <w:right w:val="none"/>
            </w:tcBorders>
          </w:tcPr>
          <w:p>
            <w:pPr>
              <w:spacing w:after="60" w:before="60"/>
            </w:pPr>
            <w:r>
              <w:rPr>
                <w:rFonts w:ascii="Segoe UI" w:cs="Segoe UI" w:eastAsia="Segoe UI" w:hAnsi="Segoe UI"/>
                <w:color w:val="141B26"/>
                <w:sz w:val="20"/>
                <w:szCs w:val="20"/>
              </w:rPr>
              <w:t xml:space="preserve">SPECIFY ONLY — cannot be built from the RM sheet</w:t>
            </w:r>
          </w:p>
        </w:tc>
      </w:tr>
      <w:tr>
        <w:tc>
          <w:tcPr>
            <w:tcW w:type="dxa" w:w="3200"/>
            <w:tcBorders>
              <w:top w:val="single" w:color="E2E7EE" w:sz="4"/>
              <w:left w:val="none"/>
              <w:bottom w:val="single" w:color="E2E7EE" w:sz="4"/>
              <w:right w:val="none"/>
            </w:tcBorders>
          </w:tcPr>
          <w:p>
            <w:pPr>
              <w:spacing w:after="60" w:before="60"/>
            </w:pPr>
            <w:r>
              <w:rPr>
                <w:rFonts w:ascii="Segoe UI" w:cs="Segoe UI" w:eastAsia="Segoe UI" w:hAnsi="Segoe UI"/>
                <w:b/>
                <w:bCs/>
                <w:color w:val="1F3A5F"/>
                <w:sz w:val="20"/>
                <w:szCs w:val="20"/>
              </w:rPr>
              <w:t xml:space="preserve">Source needed</w:t>
            </w:r>
          </w:p>
        </w:tc>
        <w:tc>
          <w:tcPr>
            <w:tcW w:type="dxa" w:w="6400"/>
            <w:tcBorders>
              <w:top w:val="single" w:color="E2E7EE" w:sz="4"/>
              <w:left w:val="none"/>
              <w:bottom w:val="single" w:color="E2E7EE" w:sz="4"/>
              <w:right w:val="none"/>
            </w:tcBorders>
          </w:tcPr>
          <w:p>
            <w:pPr>
              <w:spacing w:after="60" w:before="60"/>
            </w:pPr>
            <w:r>
              <w:rPr>
                <w:rFonts w:ascii="Segoe UI" w:cs="Segoe UI" w:eastAsia="Segoe UI" w:hAnsi="Segoe UI"/>
                <w:color w:val="141B26"/>
                <w:sz w:val="20"/>
                <w:szCs w:val="20"/>
              </w:rPr>
              <w:t xml:space="preserve">Tally ERP — vendor ledger, PO outstanding, GRN</w:t>
            </w:r>
          </w:p>
        </w:tc>
      </w:tr>
      <w:tr>
        <w:tc>
          <w:tcPr>
            <w:tcW w:type="dxa" w:w="3200"/>
            <w:tcBorders>
              <w:top w:val="single" w:color="E2E7EE" w:sz="4"/>
              <w:left w:val="none"/>
              <w:bottom w:val="single" w:color="E2E7EE" w:sz="4"/>
              <w:right w:val="none"/>
            </w:tcBorders>
          </w:tcPr>
          <w:p>
            <w:pPr>
              <w:spacing w:after="60" w:before="60"/>
            </w:pPr>
            <w:r>
              <w:rPr>
                <w:rFonts w:ascii="Segoe UI" w:cs="Segoe UI" w:eastAsia="Segoe UI" w:hAnsi="Segoe UI"/>
                <w:b/>
                <w:bCs/>
                <w:color w:val="1F3A5F"/>
                <w:sz w:val="20"/>
                <w:szCs w:val="20"/>
              </w:rPr>
              <w:t xml:space="preserve">Join key</w:t>
            </w:r>
          </w:p>
        </w:tc>
        <w:tc>
          <w:tcPr>
            <w:tcW w:type="dxa" w:w="6400"/>
            <w:tcBorders>
              <w:top w:val="single" w:color="E2E7EE" w:sz="4"/>
              <w:left w:val="none"/>
              <w:bottom w:val="single" w:color="E2E7EE" w:sz="4"/>
              <w:right w:val="none"/>
            </w:tcBorders>
          </w:tcPr>
          <w:p>
            <w:pPr>
              <w:spacing w:after="60" w:before="60"/>
            </w:pPr>
            <w:r>
              <w:rPr>
                <w:rFonts w:ascii="ui-monospace, Consolas, monospace" w:cs="ui-monospace, Consolas, monospace" w:eastAsia="ui-monospace, Consolas, monospace" w:hAnsi="ui-monospace, Consolas, monospace"/>
                <w:b/>
                <w:bCs/>
                <w:color w:val="1F3A5F"/>
                <w:sz w:val="20"/>
                <w:szCs w:val="20"/>
              </w:rPr>
              <w:t xml:space="preserve">Tally Code</w:t>
            </w:r>
            <w:r>
              <w:rPr>
                <w:rFonts w:ascii="Segoe UI" w:cs="Segoe UI" w:eastAsia="Segoe UI" w:hAnsi="Segoe UI"/>
                <w:color w:val="141B26"/>
                <w:sz w:val="20"/>
                <w:szCs w:val="20"/>
              </w:rPr>
              <w:t xml:space="preserve"> (RM sheet, brief column D — sheet header "Item Code")</w:t>
            </w:r>
          </w:p>
        </w:tc>
      </w:tr>
      <w:tr>
        <w:tc>
          <w:tcPr>
            <w:tcW w:type="dxa" w:w="3200"/>
            <w:tcBorders>
              <w:top w:val="single" w:color="E2E7EE" w:sz="4"/>
              <w:left w:val="none"/>
              <w:bottom w:val="single" w:color="E2E7EE" w:sz="4"/>
              <w:right w:val="none"/>
            </w:tcBorders>
          </w:tcPr>
          <w:p>
            <w:pPr>
              <w:spacing w:after="60" w:before="60"/>
            </w:pPr>
            <w:r>
              <w:rPr>
                <w:rFonts w:ascii="Segoe UI" w:cs="Segoe UI" w:eastAsia="Segoe UI" w:hAnsi="Segoe UI"/>
                <w:b/>
                <w:bCs/>
                <w:color w:val="1F3A5F"/>
                <w:sz w:val="20"/>
                <w:szCs w:val="20"/>
              </w:rPr>
              <w:t xml:space="preserve">Refresh</w:t>
            </w:r>
          </w:p>
        </w:tc>
        <w:tc>
          <w:tcPr>
            <w:tcW w:type="dxa" w:w="6400"/>
            <w:tcBorders>
              <w:top w:val="single" w:color="E2E7EE" w:sz="4"/>
              <w:left w:val="none"/>
              <w:bottom w:val="single" w:color="E2E7EE" w:sz="4"/>
              <w:right w:val="none"/>
            </w:tcBorders>
          </w:tcPr>
          <w:p>
            <w:pPr>
              <w:spacing w:after="60" w:before="60"/>
            </w:pPr>
            <w:r>
              <w:rPr>
                <w:rFonts w:ascii="Segoe UI" w:cs="Segoe UI" w:eastAsia="Segoe UI" w:hAnsi="Segoe UI"/>
                <w:color w:val="141B26"/>
                <w:sz w:val="20"/>
                <w:szCs w:val="20"/>
              </w:rPr>
              <w:t xml:space="preserve">Daily, once feed is live</w:t>
            </w:r>
          </w:p>
        </w:tc>
      </w:tr>
    </w:tbl>
    <w:p>
      <w:pPr>
        <w:pBdr>
          <w:bottom w:val="single" w:color="E2E7EE" w:sz="4" w:space="6"/>
        </w:pBdr>
        <w:spacing w:after="100" w:before="320"/>
      </w:pPr>
      <w:r>
        <w:rPr>
          <w:rFonts w:ascii="ui-serif, Iowan Old Style, Palatino, serif" w:cs="ui-serif, Iowan Old Style, Palatino, serif" w:eastAsia="ui-serif, Iowan Old Style, Palatino, serif" w:hAnsi="ui-serif, Iowan Old Style, Palatino, serif"/>
          <w:b/>
          <w:bCs/>
          <w:color w:val="1F3A5F"/>
          <w:sz w:val="26"/>
          <w:szCs w:val="26"/>
        </w:rPr>
        <w:t xml:space="preserve">1. Why this board exists</w:t>
      </w:r>
    </w:p>
    <w:p>
      <w:pPr>
        <w:spacing w:after="120"/>
      </w:pPr>
      <w:r>
        <w:rPr>
          <w:rFonts w:ascii="Segoe UI" w:cs="Segoe UI" w:eastAsia="Segoe UI" w:hAnsi="Segoe UI"/>
          <w:color w:val="141B26"/>
          <w:sz w:val="22"/>
          <w:szCs w:val="22"/>
        </w:rPr>
        <w:t xml:space="preserve">The 14-August operations meetings placed advance-payment control at the centre of the automation programme: money paid to a vendor against a PO, with no confirmation that material ever arrived. The control matters and the board is needed. But the RM sheet contains no vendor, no advance, no GRN and no ledger balance, so nothing in the current pack can produce it — every tile on Dashboard 10 needs data the RM sheet does not hold.</w:t>
      </w:r>
    </w:p>
    <w:p>
      <w:pPr>
        <w:spacing w:after="120"/>
      </w:pPr>
      <w:r>
        <w:rPr>
          <w:rFonts w:ascii="Segoe UI" w:cs="Segoe UI" w:eastAsia="Segoe UI" w:hAnsi="Segoe UI"/>
          <w:color w:val="141B26"/>
          <w:sz w:val="22"/>
          <w:szCs w:val="22"/>
        </w:rPr>
        <w:t xml:space="preserve">This specification defines what data must be exposed from Tally and how it joins to the existing RM sheet.</w:t>
      </w:r>
    </w:p>
    <w:p>
      <w:pPr>
        <w:pBdr>
          <w:bottom w:val="single" w:color="E2E7EE" w:sz="4" w:space="6"/>
        </w:pBdr>
        <w:spacing w:after="100" w:before="320"/>
      </w:pPr>
      <w:r>
        <w:rPr>
          <w:rFonts w:ascii="ui-serif, Iowan Old Style, Palatino, serif" w:cs="ui-serif, Iowan Old Style, Palatino, serif" w:eastAsia="ui-serif, Iowan Old Style, Palatino, serif" w:hAnsi="ui-serif, Iowan Old Style, Palatino, serif"/>
          <w:b/>
          <w:bCs/>
          <w:color w:val="1F3A5F"/>
          <w:sz w:val="26"/>
          <w:szCs w:val="26"/>
        </w:rPr>
        <w:t xml:space="preserve">2. Tally objects required</w:t>
      </w:r>
    </w:p>
    <w:p>
      <w:pPr>
        <w:spacing w:after="120"/>
      </w:pPr>
      <w:r>
        <w:rPr>
          <w:rFonts w:ascii="Segoe UI" w:cs="Segoe UI" w:eastAsia="Segoe UI" w:hAnsi="Segoe UI"/>
          <w:color w:val="141B26"/>
          <w:sz w:val="22"/>
          <w:szCs w:val="22"/>
        </w:rPr>
        <w:t xml:space="preserve">Five Tally objects need read-access to satisfy every tile on Dashboard 10:</w:t>
      </w:r>
    </w:p>
    <w:p>
      <w:pPr>
        <w:spacing w:after="80" w:before="200"/>
      </w:pPr>
      <w:r>
        <w:rPr>
          <w:rFonts w:ascii="Segoe UI" w:cs="Segoe UI" w:eastAsia="Segoe UI" w:hAnsi="Segoe UI"/>
          <w:b/>
          <w:bCs/>
          <w:color w:val="1F3A5F"/>
          <w:sz w:val="22"/>
          <w:szCs w:val="22"/>
        </w:rPr>
        <w:t xml:space="preserve">2.1  Vendor Ledger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shd w:fill="1F3A5F" w:color="auto" w:val="clear"/>
          </w:tcPr>
          <w:p>
            <w:pPr>
              <w:spacing w:after="60" w:before="60"/>
            </w:pPr>
            <w:r>
              <w:rPr>
                <w:rFonts w:ascii="Segoe UI" w:cs="Segoe UI" w:eastAsia="Segoe UI" w:hAnsi="Segoe UI"/>
                <w:b/>
                <w:bCs/>
                <w:color w:val="FFFFFF"/>
                <w:sz w:val="17"/>
                <w:szCs w:val="17"/>
              </w:rPr>
              <w:t xml:space="preserve">Field</w:t>
            </w:r>
          </w:p>
        </w:tc>
        <w:tc>
          <w:tcPr>
            <w:shd w:fill="1F3A5F" w:color="auto" w:val="clear"/>
          </w:tcPr>
          <w:p>
            <w:pPr>
              <w:spacing w:after="60" w:before="60"/>
            </w:pPr>
            <w:r>
              <w:rPr>
                <w:rFonts w:ascii="Segoe UI" w:cs="Segoe UI" w:eastAsia="Segoe UI" w:hAnsi="Segoe UI"/>
                <w:b/>
                <w:bCs/>
                <w:color w:val="FFFFFF"/>
                <w:sz w:val="17"/>
                <w:szCs w:val="17"/>
              </w:rPr>
              <w:t xml:space="preserve">What it returns</w:t>
            </w:r>
          </w:p>
        </w:tc>
        <w:tc>
          <w:tcPr>
            <w:shd w:fill="1F3A5F" w:color="auto" w:val="clear"/>
          </w:tcPr>
          <w:p>
            <w:pPr>
              <w:spacing w:after="60" w:before="60"/>
            </w:pPr>
            <w:r>
              <w:rPr>
                <w:rFonts w:ascii="Segoe UI" w:cs="Segoe UI" w:eastAsia="Segoe UI" w:hAnsi="Segoe UI"/>
                <w:b/>
                <w:bCs/>
                <w:color w:val="FFFFFF"/>
                <w:sz w:val="17"/>
                <w:szCs w:val="17"/>
              </w:rPr>
              <w:t xml:space="preserve">Notes</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party_name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Full vendor name as recorded in Tally</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Primary key for ledger joins</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party_group</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Tally group (Sundry Creditors, etc.)</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gstin</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GST registration number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For dedupe against vendor renames</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contact_person</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Named accounts contact at the vendor</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Nullable</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ledger_id</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Tally internal ledger identifier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Stable join key across renames</w:t>
            </w:r>
          </w:p>
        </w:tc>
      </w:tr>
    </w:tbl>
    <w:p>
      <w:pPr>
        <w:spacing w:after="80" w:before="200"/>
      </w:pPr>
      <w:r>
        <w:rPr>
          <w:rFonts w:ascii="Segoe UI" w:cs="Segoe UI" w:eastAsia="Segoe UI" w:hAnsi="Segoe UI"/>
          <w:b/>
          <w:bCs/>
          <w:color w:val="1F3A5F"/>
          <w:sz w:val="22"/>
          <w:szCs w:val="22"/>
        </w:rPr>
        <w:t xml:space="preserve">2.2  Vendor Ledger Balance (daily snapshot)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shd w:fill="1F3A5F" w:color="auto" w:val="clear"/>
          </w:tcPr>
          <w:p>
            <w:pPr>
              <w:spacing w:after="60" w:before="60"/>
            </w:pPr>
            <w:r>
              <w:rPr>
                <w:rFonts w:ascii="Segoe UI" w:cs="Segoe UI" w:eastAsia="Segoe UI" w:hAnsi="Segoe UI"/>
                <w:b/>
                <w:bCs/>
                <w:color w:val="FFFFFF"/>
                <w:sz w:val="17"/>
                <w:szCs w:val="17"/>
              </w:rPr>
              <w:t xml:space="preserve">Field</w:t>
            </w:r>
          </w:p>
        </w:tc>
        <w:tc>
          <w:tcPr>
            <w:shd w:fill="1F3A5F" w:color="auto" w:val="clear"/>
          </w:tcPr>
          <w:p>
            <w:pPr>
              <w:spacing w:after="60" w:before="60"/>
            </w:pPr>
            <w:r>
              <w:rPr>
                <w:rFonts w:ascii="Segoe UI" w:cs="Segoe UI" w:eastAsia="Segoe UI" w:hAnsi="Segoe UI"/>
                <w:b/>
                <w:bCs/>
                <w:color w:val="FFFFFF"/>
                <w:sz w:val="17"/>
                <w:szCs w:val="17"/>
              </w:rPr>
              <w:t xml:space="preserve">What it returns</w:t>
            </w:r>
          </w:p>
        </w:tc>
        <w:tc>
          <w:tcPr>
            <w:shd w:fill="1F3A5F" w:color="auto" w:val="clear"/>
          </w:tcPr>
          <w:p>
            <w:pPr>
              <w:spacing w:after="60" w:before="60"/>
            </w:pPr>
            <w:r>
              <w:rPr>
                <w:rFonts w:ascii="Segoe UI" w:cs="Segoe UI" w:eastAsia="Segoe UI" w:hAnsi="Segoe UI"/>
                <w:b/>
                <w:bCs/>
                <w:color w:val="FFFFFF"/>
                <w:sz w:val="17"/>
                <w:szCs w:val="17"/>
              </w:rPr>
              <w:t xml:space="preserve">Notes</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ledger_id</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Foreign key to Vendor Ledger Master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as_of_date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Snapshot date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One row per ledger per day</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opening_balance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Opening balance for the day</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Signed: +ve = payable, -ve = advance</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debit_amount</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Total debits posted on this day</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credit_amount</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Total credits posted on this day</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closing_balance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Closing balance for the day</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Signed: -ve = vendor holds advance</w:t>
            </w:r>
          </w:p>
        </w:tc>
      </w:tr>
    </w:tbl>
    <w:p>
      <w:pPr>
        <w:spacing w:after="80" w:before="200"/>
      </w:pPr>
      <w:r>
        <w:rPr>
          <w:rFonts w:ascii="Segoe UI" w:cs="Segoe UI" w:eastAsia="Segoe UI" w:hAnsi="Segoe UI"/>
          <w:b/>
          <w:bCs/>
          <w:color w:val="1F3A5F"/>
          <w:sz w:val="22"/>
          <w:szCs w:val="22"/>
        </w:rPr>
        <w:t xml:space="preserve">2.3  Purchase Orders (open + closed)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shd w:fill="1F3A5F" w:color="auto" w:val="clear"/>
          </w:tcPr>
          <w:p>
            <w:pPr>
              <w:spacing w:after="60" w:before="60"/>
            </w:pPr>
            <w:r>
              <w:rPr>
                <w:rFonts w:ascii="Segoe UI" w:cs="Segoe UI" w:eastAsia="Segoe UI" w:hAnsi="Segoe UI"/>
                <w:b/>
                <w:bCs/>
                <w:color w:val="FFFFFF"/>
                <w:sz w:val="17"/>
                <w:szCs w:val="17"/>
              </w:rPr>
              <w:t xml:space="preserve">Field</w:t>
            </w:r>
          </w:p>
        </w:tc>
        <w:tc>
          <w:tcPr>
            <w:shd w:fill="1F3A5F" w:color="auto" w:val="clear"/>
          </w:tcPr>
          <w:p>
            <w:pPr>
              <w:spacing w:after="60" w:before="60"/>
            </w:pPr>
            <w:r>
              <w:rPr>
                <w:rFonts w:ascii="Segoe UI" w:cs="Segoe UI" w:eastAsia="Segoe UI" w:hAnsi="Segoe UI"/>
                <w:b/>
                <w:bCs/>
                <w:color w:val="FFFFFF"/>
                <w:sz w:val="17"/>
                <w:szCs w:val="17"/>
              </w:rPr>
              <w:t xml:space="preserve">What it returns</w:t>
            </w:r>
          </w:p>
        </w:tc>
        <w:tc>
          <w:tcPr>
            <w:shd w:fill="1F3A5F" w:color="auto" w:val="clear"/>
          </w:tcPr>
          <w:p>
            <w:pPr>
              <w:spacing w:after="60" w:before="60"/>
            </w:pPr>
            <w:r>
              <w:rPr>
                <w:rFonts w:ascii="Segoe UI" w:cs="Segoe UI" w:eastAsia="Segoe UI" w:hAnsi="Segoe UI"/>
                <w:b/>
                <w:bCs/>
                <w:color w:val="FFFFFF"/>
                <w:sz w:val="17"/>
                <w:szCs w:val="17"/>
              </w:rPr>
              <w:t xml:space="preserve">Notes</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po_number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Tally PO number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Primary key</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po_date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Date the PO was raised</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Feeds "advances aged beyond lead time"</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ledger_id</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FK to Vendor Ledger Master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Vendor the PO is with</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tally_code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Tally item code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defaul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ordered_qty</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Quantity on the PO</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ordered_rate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Rate on the PO</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Replaces the RM sheet's "indicative" rate</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ordered_value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PO line value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Auto = ordered_qty × ordered_rate</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po_status</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Open / Partial / Closed / Cancelled</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expected_arrival</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Delivery date agreed with vendor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default"/>
            </w:r>
          </w:p>
        </w:tc>
      </w:tr>
    </w:tbl>
    <w:p>
      <w:pPr>
        <w:spacing w:after="80" w:before="200"/>
      </w:pPr>
      <w:r>
        <w:rPr>
          <w:rFonts w:ascii="Segoe UI" w:cs="Segoe UI" w:eastAsia="Segoe UI" w:hAnsi="Segoe UI"/>
          <w:b/>
          <w:bCs/>
          <w:color w:val="1F3A5F"/>
          <w:sz w:val="22"/>
          <w:szCs w:val="22"/>
        </w:rPr>
        <w:t xml:space="preserve">2.4  Goods Receipt Notes (GRN)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shd w:fill="1F3A5F" w:color="auto" w:val="clear"/>
          </w:tcPr>
          <w:p>
            <w:pPr>
              <w:spacing w:after="60" w:before="60"/>
            </w:pPr>
            <w:r>
              <w:rPr>
                <w:rFonts w:ascii="Segoe UI" w:cs="Segoe UI" w:eastAsia="Segoe UI" w:hAnsi="Segoe UI"/>
                <w:b/>
                <w:bCs/>
                <w:color w:val="FFFFFF"/>
                <w:sz w:val="17"/>
                <w:szCs w:val="17"/>
              </w:rPr>
              <w:t xml:space="preserve">Field</w:t>
            </w:r>
          </w:p>
        </w:tc>
        <w:tc>
          <w:tcPr>
            <w:shd w:fill="1F3A5F" w:color="auto" w:val="clear"/>
          </w:tcPr>
          <w:p>
            <w:pPr>
              <w:spacing w:after="60" w:before="60"/>
            </w:pPr>
            <w:r>
              <w:rPr>
                <w:rFonts w:ascii="Segoe UI" w:cs="Segoe UI" w:eastAsia="Segoe UI" w:hAnsi="Segoe UI"/>
                <w:b/>
                <w:bCs/>
                <w:color w:val="FFFFFF"/>
                <w:sz w:val="17"/>
                <w:szCs w:val="17"/>
              </w:rPr>
              <w:t xml:space="preserve">What it returns</w:t>
            </w:r>
          </w:p>
        </w:tc>
        <w:tc>
          <w:tcPr>
            <w:shd w:fill="1F3A5F" w:color="auto" w:val="clear"/>
          </w:tcPr>
          <w:p>
            <w:pPr>
              <w:spacing w:after="60" w:before="60"/>
            </w:pPr>
            <w:r>
              <w:rPr>
                <w:rFonts w:ascii="Segoe UI" w:cs="Segoe UI" w:eastAsia="Segoe UI" w:hAnsi="Segoe UI"/>
                <w:b/>
                <w:bCs/>
                <w:color w:val="FFFFFF"/>
                <w:sz w:val="17"/>
                <w:szCs w:val="17"/>
              </w:rPr>
              <w:t xml:space="preserve">Notes</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grn_number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Tally GRN number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Primary key</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grn_date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Date material was received</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Feeds "advance without receipt"</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po_number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FK to Purchase Orders</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Nullable — some GRNs bypass a PO</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ledger_id</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FK to Vendor Ledger Master</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tally_code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Tally item code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For per-item advance tracking</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received_qty</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Quantity received</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received_value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Value received</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
            </w:r>
          </w:p>
        </w:tc>
      </w:tr>
    </w:tbl>
    <w:p>
      <w:pPr>
        <w:spacing w:after="80" w:before="200"/>
      </w:pPr>
      <w:r>
        <w:rPr>
          <w:rFonts w:ascii="Segoe UI" w:cs="Segoe UI" w:eastAsia="Segoe UI" w:hAnsi="Segoe UI"/>
          <w:b/>
          <w:bCs/>
          <w:color w:val="1F3A5F"/>
          <w:sz w:val="22"/>
          <w:szCs w:val="22"/>
        </w:rPr>
        <w:t xml:space="preserve">2.5  Advance Payment Vouchers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shd w:fill="1F3A5F" w:color="auto" w:val="clear"/>
          </w:tcPr>
          <w:p>
            <w:pPr>
              <w:spacing w:after="60" w:before="60"/>
            </w:pPr>
            <w:r>
              <w:rPr>
                <w:rFonts w:ascii="Segoe UI" w:cs="Segoe UI" w:eastAsia="Segoe UI" w:hAnsi="Segoe UI"/>
                <w:b/>
                <w:bCs/>
                <w:color w:val="FFFFFF"/>
                <w:sz w:val="17"/>
                <w:szCs w:val="17"/>
              </w:rPr>
              <w:t xml:space="preserve">Field</w:t>
            </w:r>
          </w:p>
        </w:tc>
        <w:tc>
          <w:tcPr>
            <w:shd w:fill="1F3A5F" w:color="auto" w:val="clear"/>
          </w:tcPr>
          <w:p>
            <w:pPr>
              <w:spacing w:after="60" w:before="60"/>
            </w:pPr>
            <w:r>
              <w:rPr>
                <w:rFonts w:ascii="Segoe UI" w:cs="Segoe UI" w:eastAsia="Segoe UI" w:hAnsi="Segoe UI"/>
                <w:b/>
                <w:bCs/>
                <w:color w:val="FFFFFF"/>
                <w:sz w:val="17"/>
                <w:szCs w:val="17"/>
              </w:rPr>
              <w:t xml:space="preserve">What it returns</w:t>
            </w:r>
          </w:p>
        </w:tc>
        <w:tc>
          <w:tcPr>
            <w:shd w:fill="1F3A5F" w:color="auto" w:val="clear"/>
          </w:tcPr>
          <w:p>
            <w:pPr>
              <w:spacing w:after="60" w:before="60"/>
            </w:pPr>
            <w:r>
              <w:rPr>
                <w:rFonts w:ascii="Segoe UI" w:cs="Segoe UI" w:eastAsia="Segoe UI" w:hAnsi="Segoe UI"/>
                <w:b/>
                <w:bCs/>
                <w:color w:val="FFFFFF"/>
                <w:sz w:val="17"/>
                <w:szCs w:val="17"/>
              </w:rPr>
              <w:t xml:space="preserve">Notes</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voucher_number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Tally voucher number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Primary key</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voucher_date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Date of advance payment</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Ageing baseline</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ledger_id</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FK to Vendor Ledger Master</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po_number</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FK to Purchase Orders</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NULL where advance is not against a PO</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amount</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Amount of the advance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unadjusted_amount</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Portion NOT yet offset by a GRN or invoice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The recovery-risk figure</w:t>
            </w:r>
          </w:p>
        </w:tc>
      </w:tr>
    </w:tbl>
    <w:p>
      <w:pPr>
        <w:pBdr>
          <w:bottom w:val="single" w:color="E2E7EE" w:sz="4" w:space="6"/>
        </w:pBdr>
        <w:spacing w:after="100" w:before="320"/>
      </w:pPr>
      <w:r>
        <w:rPr>
          <w:rFonts w:ascii="ui-serif, Iowan Old Style, Palatino, serif" w:cs="ui-serif, Iowan Old Style, Palatino, serif" w:eastAsia="ui-serif, Iowan Old Style, Palatino, serif" w:hAnsi="ui-serif, Iowan Old Style, Palatino, serif"/>
          <w:b/>
          <w:bCs/>
          <w:color w:val="1F3A5F"/>
          <w:sz w:val="26"/>
          <w:szCs w:val="26"/>
        </w:rPr>
        <w:t xml:space="preserve">3. Which Tally objects each Dashboard-10 tile needs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gridCol w:w="1400"/>
      </w:tblGrid>
      <w:tr>
        <w:trPr>
          <w:tblHeader/>
        </w:trPr>
        <w:tc>
          <w:tcPr>
            <w:shd w:fill="1F3A5F" w:color="auto" w:val="clear"/>
          </w:tcPr>
          <w:p>
            <w:r>
              <w:rPr>
                <w:rFonts w:ascii="Segoe UI" w:cs="Segoe UI" w:eastAsia="Segoe UI" w:hAnsi="Segoe UI"/>
                <w:b/>
                <w:bCs/>
                <w:color w:val="FFFFFF"/>
                <w:sz w:val="17"/>
                <w:szCs w:val="17"/>
              </w:rPr>
              <w:t xml:space="preserve">Tile</w:t>
            </w:r>
          </w:p>
        </w:tc>
        <w:tc>
          <w:tcPr>
            <w:shd w:fill="1F3A5F" w:color="auto" w:val="clear"/>
          </w:tcPr>
          <w:p>
            <w:r>
              <w:rPr>
                <w:rFonts w:ascii="Segoe UI" w:cs="Segoe UI" w:eastAsia="Segoe UI" w:hAnsi="Segoe UI"/>
                <w:b/>
                <w:bCs/>
                <w:color w:val="FFFFFF"/>
                <w:sz w:val="17"/>
                <w:szCs w:val="17"/>
              </w:rPr>
              <w:t xml:space="preserve">Requires</w:t>
            </w:r>
          </w:p>
        </w:tc>
        <w:tc>
          <w:tcPr>
            <w:shd w:fill="1F3A5F" w:color="auto" w:val="clear"/>
          </w:tcPr>
          <w:p>
            <w:r>
              <w:rPr>
                <w:rFonts w:ascii="Segoe UI" w:cs="Segoe UI" w:eastAsia="Segoe UI" w:hAnsi="Segoe UI"/>
                <w:b/>
                <w:bCs/>
                <w:color w:val="FFFFFF"/>
                <w:sz w:val="17"/>
                <w:szCs w:val="17"/>
              </w:rPr>
              <w:t xml:space="preserve">RM join?</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Advances outstanding</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Vendor Ledger Balance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no</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Advances aged beyond lead time</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Vendor Ledger Balance + Purchase Orders + RM Lead Time (Days)</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yes</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Advance without a PO</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Advance Payment Vouchers</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no</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Advance on a non-moving item</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Advance Vouchers → PO → RM Category (AG)</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yes</w:t>
            </w:r>
          </w:p>
        </w:tc>
      </w:tr>
      <w:tr>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Vendor both owed and advanced</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Vendor Ledger Balance alone</w:t>
            </w:r>
          </w:p>
        </w:tc>
        <w:tc>
          <w:tcPr>
            <w:tcBorders>
              <w:top w:val="single" w:color="E2E7EE" w:sz="4"/>
              <w:left w:val="none"/>
              <w:bottom w:val="single" w:color="E2E7EE" w:sz="4"/>
              <w:right w:val="none"/>
            </w:tcBorders>
          </w:tcPr>
          <w:p>
            <w:pPr>
              <w:spacing w:after="60" w:before="60"/>
            </w:pPr>
            <w:r>
              <w:rPr>
                <w:rFonts w:ascii="Segoe UI" w:cs="Segoe UI" w:eastAsia="Segoe UI" w:hAnsi="Segoe UI"/>
                <w:color w:val="141B26"/>
                <w:sz w:val="18"/>
                <w:szCs w:val="18"/>
              </w:rPr>
              <w:t xml:space="preserve">no</w:t>
            </w:r>
          </w:p>
        </w:tc>
      </w:tr>
      <w:tr>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Recovery risk</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Advance Vouchers + GRN (ageing over 60 days)</w:t>
            </w:r>
          </w:p>
        </w:tc>
        <w:tc>
          <w:tcPr>
            <w:tcBorders>
              <w:top w:val="single" w:color="E2E7EE" w:sz="4"/>
              <w:left w:val="none"/>
              <w:bottom w:val="single" w:color="E2E7EE" w:sz="4"/>
              <w:right w:val="none"/>
            </w:tcBorders>
            <w:shd w:fill="F5F7FA" w:color="auto" w:val="clear"/>
          </w:tcPr>
          <w:p>
            <w:pPr>
              <w:spacing w:after="60" w:before="60"/>
            </w:pPr>
            <w:r>
              <w:rPr>
                <w:rFonts w:ascii="Segoe UI" w:cs="Segoe UI" w:eastAsia="Segoe UI" w:hAnsi="Segoe UI"/>
                <w:color w:val="141B26"/>
                <w:sz w:val="18"/>
                <w:szCs w:val="18"/>
              </w:rPr>
              <w:t xml:space="preserve">no</w:t>
            </w:r>
          </w:p>
        </w:tc>
      </w:tr>
    </w:tbl>
    <w:p>
      <w:pPr>
        <w:pBdr>
          <w:bottom w:val="single" w:color="E2E7EE" w:sz="4" w:space="6"/>
        </w:pBdr>
        <w:spacing w:after="100" w:before="320"/>
      </w:pPr>
      <w:r>
        <w:rPr>
          <w:rFonts w:ascii="ui-serif, Iowan Old Style, Palatino, serif" w:cs="ui-serif, Iowan Old Style, Palatino, serif" w:eastAsia="ui-serif, Iowan Old Style, Palatino, serif" w:hAnsi="ui-serif, Iowan Old Style, Palatino, serif"/>
          <w:b/>
          <w:bCs/>
          <w:color w:val="1F3A5F"/>
          <w:sz w:val="26"/>
          <w:szCs w:val="26"/>
        </w:rPr>
        <w:t xml:space="preserve">4. Known risks in the join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B45309" w:sz="4"/>
              <w:left w:val="single" w:color="B45309" w:sz="24"/>
              <w:bottom w:val="single" w:color="B45309" w:sz="4"/>
              <w:right w:val="single" w:color="B45309" w:sz="4"/>
            </w:tcBorders>
            <w:shd w:fill="FFF4E1" w:color="auto" w:val="clear"/>
            <w:tcMar>
              <w:top w:type="dxa" w:w="160"/>
              <w:left w:type="dxa" w:w="220"/>
              <w:bottom w:type="dxa" w:w="160"/>
              <w:right w:type="dxa" w:w="220"/>
            </w:tcMar>
          </w:tcPr>
          <w:p>
            <w:pPr>
              <w:spacing w:after="60"/>
            </w:pPr>
            <w:r>
              <w:rPr>
                <w:rFonts w:ascii="Segoe UI" w:cs="Segoe UI" w:eastAsia="Segoe UI" w:hAnsi="Segoe UI"/>
                <w:b/>
                <w:bCs/>
                <w:color w:val="B45309"/>
                <w:spacing w:val="50"/>
                <w:sz w:val="14"/>
                <w:szCs w:val="14"/>
              </w:rPr>
              <w:t xml:space="preserve">HEADS UP</w:t>
            </w:r>
          </w:p>
          <w:p>
            <w:pPr>
              <w:spacing w:after="40"/>
            </w:pPr>
            <w:r>
              <w:rPr>
                <w:rFonts w:ascii="Segoe UI" w:cs="Segoe UI" w:eastAsia="Segoe UI" w:hAnsi="Segoe UI"/>
                <w:b/>
                <w:bCs/>
                <w:color w:val="141B26"/>
                <w:sz w:val="22"/>
                <w:szCs w:val="22"/>
              </w:rPr>
              <w:t xml:space="preserve">Tally Code is blank or zero on 24 RM rows today</w:t>
            </w:r>
          </w:p>
          <w:p>
            <w:pPr>
              <w:spacing w:after="40"/>
            </w:pPr>
            <w:r>
              <w:rPr>
                <w:rFonts w:ascii="Segoe UI" w:cs="Segoe UI" w:eastAsia="Segoe UI" w:hAnsi="Segoe UI"/>
                <w:color w:val="141B26"/>
                <w:sz w:val="20"/>
                <w:szCs w:val="20"/>
              </w:rPr>
              <w:t xml:space="preserve">These rows will never reconcile until the RM master is fixed. Any Dashboard-10 tile that joins on Tally Code will silently under-report by that population.</w:t>
            </w:r>
          </w:p>
          <w:p>
            <w:pPr>
              <w:spacing w:after="40"/>
            </w:pPr>
            <w:r>
              <w:rPr>
                <w:rFonts w:ascii="Segoe UI" w:cs="Segoe UI" w:eastAsia="Segoe UI" w:hAnsi="Segoe UI"/>
                <w:i/>
                <w:iCs/>
                <w:color w:val="141B26"/>
                <w:sz w:val="20"/>
                <w:szCs w:val="20"/>
              </w:rPr>
              <w:t xml:space="preserve">Reference: this is one of the defects Dashboard 8 (Data Trust) counts on the "Rows with no Tally Code" tile.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B45309" w:sz="4"/>
              <w:left w:val="single" w:color="B45309" w:sz="24"/>
              <w:bottom w:val="single" w:color="B45309" w:sz="4"/>
              <w:right w:val="single" w:color="B45309" w:sz="4"/>
            </w:tcBorders>
            <w:shd w:fill="FFF4E1" w:color="auto" w:val="clear"/>
            <w:tcMar>
              <w:top w:type="dxa" w:w="160"/>
              <w:left w:type="dxa" w:w="220"/>
              <w:bottom w:type="dxa" w:w="160"/>
              <w:right w:type="dxa" w:w="220"/>
            </w:tcMar>
          </w:tcPr>
          <w:p>
            <w:pPr>
              <w:spacing w:after="60"/>
            </w:pPr>
            <w:r>
              <w:rPr>
                <w:rFonts w:ascii="Segoe UI" w:cs="Segoe UI" w:eastAsia="Segoe UI" w:hAnsi="Segoe UI"/>
                <w:b/>
                <w:bCs/>
                <w:color w:val="B45309"/>
                <w:spacing w:val="50"/>
                <w:sz w:val="14"/>
                <w:szCs w:val="14"/>
              </w:rPr>
              <w:t xml:space="preserve">HEADS UP</w:t>
            </w:r>
          </w:p>
          <w:p>
            <w:pPr>
              <w:spacing w:after="40"/>
            </w:pPr>
            <w:r>
              <w:rPr>
                <w:rFonts w:ascii="Segoe UI" w:cs="Segoe UI" w:eastAsia="Segoe UI" w:hAnsi="Segoe UI"/>
                <w:b/>
                <w:bCs/>
                <w:color w:val="141B26"/>
                <w:sz w:val="22"/>
                <w:szCs w:val="22"/>
              </w:rPr>
              <w:t xml:space="preserve">Vendor rename in Tally breaks ledger joins</w:t>
            </w:r>
          </w:p>
          <w:p>
            <w:pPr>
              <w:spacing w:after="40"/>
            </w:pPr>
            <w:r>
              <w:rPr>
                <w:rFonts w:ascii="Segoe UI" w:cs="Segoe UI" w:eastAsia="Segoe UI" w:hAnsi="Segoe UI"/>
                <w:color w:val="141B26"/>
                <w:sz w:val="20"/>
                <w:szCs w:val="20"/>
              </w:rPr>
              <w:t xml:space="preserve">If Tally allows a vendor to be renamed without preserving ledger_id, "vendor both owed and advanced" and "recovery risk" will fragment. Prefer ledger_id (Tally's internal identifier) over party_name as the stable key.</w:t>
            </w:r>
          </w:p>
        </w:tc>
      </w:tr>
    </w:tbl>
    <w:p>
      <w:pPr>
        <w:pBdr>
          <w:bottom w:val="single" w:color="E2E7EE" w:sz="4" w:space="6"/>
        </w:pBdr>
        <w:spacing w:after="100" w:before="320"/>
      </w:pPr>
      <w:r>
        <w:rPr>
          <w:rFonts w:ascii="ui-serif, Iowan Old Style, Palatino, serif" w:cs="ui-serif, Iowan Old Style, Palatino, serif" w:eastAsia="ui-serif, Iowan Old Style, Palatino, serif" w:hAnsi="ui-serif, Iowan Old Style, Palatino, serif"/>
          <w:b/>
          <w:bCs/>
          <w:color w:val="1F3A5F"/>
          <w:sz w:val="26"/>
          <w:szCs w:val="26"/>
        </w:rPr>
        <w:t xml:space="preserve">5. Refresh cadence and delivery route</w:t>
      </w:r>
    </w:p>
    <w:p>
      <w:pPr>
        <w:spacing w:after="120"/>
      </w:pPr>
      <w:r>
        <w:rPr>
          <w:rFonts w:ascii="Segoe UI" w:cs="Segoe UI" w:eastAsia="Segoe UI" w:hAnsi="Segoe UI"/>
          <w:b/>
          <w:bCs/>
          <w:color w:val="141B26"/>
          <w:sz w:val="22"/>
          <w:szCs w:val="22"/>
        </w:rPr>
        <w:t xml:space="preserve">Daily snapshot </w:t>
      </w:r>
      <w:r>
        <w:rPr>
          <w:rFonts w:ascii="Segoe UI" w:cs="Segoe UI" w:eastAsia="Segoe UI" w:hAnsi="Segoe UI"/>
          <w:color w:val="141B26"/>
          <w:sz w:val="22"/>
          <w:szCs w:val="22"/>
        </w:rPr>
        <w:t xml:space="preserve">is enough for every tile. The board is meant for the CFO and Accounts leads, who look at it once per morning — intraday freshness is not needed and would only stress the ERP.</w:t>
      </w:r>
    </w:p>
    <w:p>
      <w:pPr>
        <w:spacing w:after="120"/>
      </w:pPr>
      <w:r>
        <w:rPr>
          <w:rFonts w:ascii="Segoe UI" w:cs="Segoe UI" w:eastAsia="Segoe UI" w:hAnsi="Segoe UI"/>
          <w:color w:val="141B26"/>
          <w:sz w:val="22"/>
          <w:szCs w:val="22"/>
        </w:rPr>
        <w:t xml:space="preserve">Delivery route (Dharmik to choose one, in agreement with the Tally admin):</w:t>
      </w:r>
    </w:p>
    <w:p>
      <w:pPr>
        <w:spacing w:after="60"/>
        <w:ind w:left="400" w:hanging="200"/>
      </w:pPr>
      <w:r>
        <w:rPr>
          <w:rFonts w:ascii="Segoe UI" w:cs="Segoe UI" w:eastAsia="Segoe UI" w:hAnsi="Segoe UI"/>
          <w:color w:val="6B7A8F"/>
          <w:sz w:val="22"/>
          <w:szCs w:val="22"/>
        </w:rPr>
        <w:t xml:space="preserve">•  </w:t>
      </w:r>
      <w:r>
        <w:rPr>
          <w:rFonts w:ascii="Segoe UI" w:cs="Segoe UI" w:eastAsia="Segoe UI" w:hAnsi="Segoe UI"/>
          <w:color w:val="141B26"/>
          <w:sz w:val="22"/>
          <w:szCs w:val="22"/>
        </w:rPr>
        <w:t xml:space="preserve">Tally ODBC / ODBC Data Source Name (DSN) exposed to the JCPL server. Python reads it via pyodbc.</w:t>
      </w:r>
    </w:p>
    <w:p>
      <w:pPr>
        <w:spacing w:after="60"/>
        <w:ind w:left="400" w:hanging="200"/>
      </w:pPr>
      <w:r>
        <w:rPr>
          <w:rFonts w:ascii="Segoe UI" w:cs="Segoe UI" w:eastAsia="Segoe UI" w:hAnsi="Segoe UI"/>
          <w:color w:val="6B7A8F"/>
          <w:sz w:val="22"/>
          <w:szCs w:val="22"/>
        </w:rPr>
        <w:t xml:space="preserve">•  </w:t>
      </w:r>
      <w:r>
        <w:rPr>
          <w:rFonts w:ascii="Segoe UI" w:cs="Segoe UI" w:eastAsia="Segoe UI" w:hAnsi="Segoe UI"/>
          <w:color w:val="141B26"/>
          <w:sz w:val="22"/>
          <w:szCs w:val="22"/>
        </w:rPr>
        <w:t xml:space="preserve">Tally XML export — a scheduled daily job dumps the five objects to XML, portal picks them up.</w:t>
      </w:r>
    </w:p>
    <w:p>
      <w:pPr>
        <w:spacing w:after="60"/>
        <w:ind w:left="400" w:hanging="200"/>
      </w:pPr>
      <w:r>
        <w:rPr>
          <w:rFonts w:ascii="Segoe UI" w:cs="Segoe UI" w:eastAsia="Segoe UI" w:hAnsi="Segoe UI"/>
          <w:color w:val="6B7A8F"/>
          <w:sz w:val="22"/>
          <w:szCs w:val="22"/>
        </w:rPr>
        <w:t xml:space="preserve">•  </w:t>
      </w:r>
      <w:r>
        <w:rPr>
          <w:rFonts w:ascii="Segoe UI" w:cs="Segoe UI" w:eastAsia="Segoe UI" w:hAnsi="Segoe UI"/>
          <w:color w:val="141B26"/>
          <w:sz w:val="22"/>
          <w:szCs w:val="22"/>
        </w:rPr>
        <w:t xml:space="preserve">A commercial connector — TallyPrime's HTTP API (if enabled) returns JSON, portal fetches nightly.</w:t>
      </w:r>
    </w:p>
    <w:p>
      <w:pPr>
        <w:spacing w:after="120"/>
      </w:pPr>
      <w:r>
        <w:rPr>
          <w:rFonts w:ascii="Segoe UI" w:cs="Segoe UI" w:eastAsia="Segoe UI" w:hAnsi="Segoe UI"/>
          <w:color w:val="141B26"/>
          <w:sz w:val="22"/>
          <w:szCs w:val="22"/>
        </w:rPr>
        <w:t xml:space="preserve">Whatever the route, the Python fetch layer follows the same pattern already in use for the Combined Google Sheet (management command + systemd timer) — one command per Tally object, no ad-hoc downloads.</w:t>
      </w:r>
    </w:p>
    <w:p>
      <w:pPr>
        <w:pBdr>
          <w:bottom w:val="single" w:color="E2E7EE" w:sz="4" w:space="6"/>
        </w:pBdr>
        <w:spacing w:after="100" w:before="320"/>
      </w:pPr>
      <w:r>
        <w:rPr>
          <w:rFonts w:ascii="ui-serif, Iowan Old Style, Palatino, serif" w:cs="ui-serif, Iowan Old Style, Palatino, serif" w:eastAsia="ui-serif, Iowan Old Style, Palatino, serif" w:hAnsi="ui-serif, Iowan Old Style, Palatino, serif"/>
          <w:b/>
          <w:bCs/>
          <w:color w:val="1F3A5F"/>
          <w:sz w:val="26"/>
          <w:szCs w:val="26"/>
        </w:rPr>
        <w:t xml:space="preserve">6. What Dharmik should NOT do</w:t>
      </w:r>
    </w:p>
    <w:p>
      <w:pPr>
        <w:spacing w:after="120"/>
      </w:pPr>
      <w:r>
        <w:rPr>
          <w:rFonts w:ascii="Segoe UI" w:cs="Segoe UI" w:eastAsia="Segoe UI" w:hAnsi="Segoe UI"/>
          <w:b/>
          <w:bCs/>
          <w:color w:val="141B26"/>
          <w:sz w:val="22"/>
          <w:szCs w:val="22"/>
        </w:rPr>
        <w:t xml:space="preserve">Do not build a partial board using stub data or by inferring vendor information from the RM sheet. </w:t>
      </w:r>
      <w:r>
        <w:rPr>
          <w:rFonts w:ascii="Segoe UI" w:cs="Segoe UI" w:eastAsia="Segoe UI" w:hAnsi="Segoe UI"/>
          <w:color w:val="141B26"/>
          <w:sz w:val="22"/>
          <w:szCs w:val="22"/>
        </w:rPr>
        <w:t xml:space="preserve">A Dashboard 10 that looks authoritative and reports fiction is worse than no Dashboard 10.</w:t>
      </w:r>
    </w:p>
    <w:p>
      <w:pPr>
        <w:spacing w:after="120"/>
      </w:pPr>
      <w:r>
        <w:rPr>
          <w:rFonts w:ascii="Segoe UI" w:cs="Segoe UI" w:eastAsia="Segoe UI" w:hAnsi="Segoe UI"/>
          <w:color w:val="141B26"/>
          <w:sz w:val="22"/>
          <w:szCs w:val="22"/>
        </w:rPr>
        <w:t xml:space="preserve">The portal already renders Dashboard 10 as a blocked-tiles placeholder in the "Awaiting data" tab. That is deliberate. Leave it there until every field above has a live feed.</w:t>
      </w:r>
    </w:p>
    <w:p>
      <w:pPr>
        <w:pBdr>
          <w:bottom w:val="single" w:color="E2E7EE" w:sz="4" w:space="6"/>
        </w:pBdr>
        <w:spacing w:after="100" w:before="320"/>
      </w:pPr>
      <w:r>
        <w:rPr>
          <w:rFonts w:ascii="ui-serif, Iowan Old Style, Palatino, serif" w:cs="ui-serif, Iowan Old Style, Palatino, serif" w:eastAsia="ui-serif, Iowan Old Style, Palatino, serif" w:hAnsi="ui-serif, Iowan Old Style, Palatino, serif"/>
          <w:b/>
          <w:bCs/>
          <w:color w:val="1F3A5F"/>
          <w:sz w:val="26"/>
          <w:szCs w:val="26"/>
        </w:rPr>
        <w:t xml:space="preserve">7. What triggers building the board</w:t>
      </w:r>
    </w:p>
    <w:p>
      <w:pPr>
        <w:spacing w:after="60"/>
        <w:ind w:left="400" w:hanging="200"/>
      </w:pPr>
      <w:r>
        <w:rPr>
          <w:rFonts w:ascii="Segoe UI" w:cs="Segoe UI" w:eastAsia="Segoe UI" w:hAnsi="Segoe UI"/>
          <w:color w:val="6B7A8F"/>
          <w:sz w:val="22"/>
          <w:szCs w:val="22"/>
        </w:rPr>
        <w:t xml:space="preserve">•  </w:t>
      </w:r>
      <w:r>
        <w:rPr>
          <w:rFonts w:ascii="Segoe UI" w:cs="Segoe UI" w:eastAsia="Segoe UI" w:hAnsi="Segoe UI"/>
          <w:color w:val="141B26"/>
          <w:sz w:val="22"/>
          <w:szCs w:val="22"/>
        </w:rPr>
        <w:t xml:space="preserve">Tally read access is arranged and the five objects above return real data.</w:t>
      </w:r>
    </w:p>
    <w:p>
      <w:pPr>
        <w:spacing w:after="60"/>
        <w:ind w:left="400" w:hanging="200"/>
      </w:pPr>
      <w:r>
        <w:rPr>
          <w:rFonts w:ascii="Segoe UI" w:cs="Segoe UI" w:eastAsia="Segoe UI" w:hAnsi="Segoe UI"/>
          <w:color w:val="6B7A8F"/>
          <w:sz w:val="22"/>
          <w:szCs w:val="22"/>
        </w:rPr>
        <w:t xml:space="preserve">•  </w:t>
      </w:r>
      <w:r>
        <w:rPr>
          <w:rFonts w:ascii="Segoe UI" w:cs="Segoe UI" w:eastAsia="Segoe UI" w:hAnsi="Segoe UI"/>
          <w:color w:val="141B26"/>
          <w:sz w:val="22"/>
          <w:szCs w:val="22"/>
        </w:rPr>
        <w:t xml:space="preserve">The 24 uncoded-Tally rows on the RM sheet are corrected — otherwise any join to Tally under-reports.</w:t>
      </w:r>
    </w:p>
    <w:p>
      <w:pPr>
        <w:spacing w:after="60"/>
        <w:ind w:left="400" w:hanging="200"/>
      </w:pPr>
      <w:r>
        <w:rPr>
          <w:rFonts w:ascii="Segoe UI" w:cs="Segoe UI" w:eastAsia="Segoe UI" w:hAnsi="Segoe UI"/>
          <w:color w:val="6B7A8F"/>
          <w:sz w:val="22"/>
          <w:szCs w:val="22"/>
        </w:rPr>
        <w:t xml:space="preserve">•  </w:t>
      </w:r>
      <w:r>
        <w:rPr>
          <w:rFonts w:ascii="Segoe UI" w:cs="Segoe UI" w:eastAsia="Segoe UI" w:hAnsi="Segoe UI"/>
          <w:color w:val="141B26"/>
          <w:sz w:val="22"/>
          <w:szCs w:val="22"/>
        </w:rPr>
        <w:t xml:space="preserve">Decision 10 in the brief is closed with a written answer.</w:t>
      </w:r>
    </w:p>
    <w:p>
      <w:pPr>
        <w:spacing w:after="120"/>
      </w:pPr>
      <w:r>
        <w:rPr>
          <w:rFonts w:ascii="Segoe UI" w:cs="Segoe UI" w:eastAsia="Segoe UI" w:hAnsi="Segoe UI"/>
          <w:color w:val="141B26"/>
          <w:sz w:val="22"/>
          <w:szCs w:val="22"/>
        </w:rPr>
        <w:t xml:space="preserve">At that point, the same pattern used for Dashboards 1–9 applies: one Python computation module (</w:t>
      </w:r>
      <w:r>
        <w:rPr>
          <w:rFonts w:ascii="ui-monospace, Consolas, monospace" w:cs="ui-monospace, Consolas, monospace" w:eastAsia="ui-monospace, Consolas, monospace" w:hAnsi="ui-monospace, Consolas, monospace"/>
          <w:color w:val="141B26"/>
          <w:sz w:val="22"/>
          <w:szCs w:val="22"/>
        </w:rPr>
        <w:t xml:space="preserve">d10_advance_payment.py</w:t>
      </w:r>
      <w:r>
        <w:rPr>
          <w:rFonts w:ascii="Segoe UI" w:cs="Segoe UI" w:eastAsia="Segoe UI" w:hAnsi="Segoe UI"/>
          <w:color w:val="141B26"/>
          <w:sz w:val="22"/>
          <w:szCs w:val="22"/>
        </w:rPr>
        <w:t xml:space="preserve">), one entry in the dashboard registry, and one frontend tab-swap from the blocked placeholder to a live tile grid. No re-architecture is needed.</w:t>
      </w:r>
    </w:p>
    <w:p>
      <w:pPr>
        <w:spacing w:before="340"/>
        <w:jc w:val="center"/>
      </w:pPr>
      <w:r>
        <w:rPr>
          <w:rFonts w:ascii="ui-serif, Iowan Old Style, Palatino, serif" w:cs="ui-serif, Iowan Old Style, Palatino, serif" w:eastAsia="ui-serif, Iowan Old Style, Palatino, serif" w:hAnsi="ui-serif, Iowan Old Style, Palatino, serif"/>
          <w:i/>
          <w:iCs/>
          <w:color w:val="6B7A8F"/>
          <w:sz w:val="20"/>
          <w:szCs w:val="20"/>
        </w:rPr>
        <w:t xml:space="preserve">— End of feed specification —</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41B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10 — Tally Feed Specification</dc:title>
  <dc:creator>JCPL Automation</dc:creator>
  <dc:description>One-page feed specification for the Advance Payment &amp; Vendor Exposure dashboard.</dc:description>
  <cp:lastModifiedBy>Un-named</cp:lastModifiedBy>
  <cp:revision>1</cp:revision>
  <dcterms:created xsi:type="dcterms:W3CDTF">2026-08-17T06:08:27.707Z</dcterms:created>
  <dcterms:modified xsi:type="dcterms:W3CDTF">2026-08-17T06:08:27.707Z</dcterms:modified>
</cp:coreProperties>
</file>

<file path=docProps/custom.xml><?xml version="1.0" encoding="utf-8"?>
<Properties xmlns="http://schemas.openxmlformats.org/officeDocument/2006/custom-properties" xmlns:vt="http://schemas.openxmlformats.org/officeDocument/2006/docPropsVTypes"/>
</file>