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Что сделано: доработка отчёта ТО и замечаний к форматированию</w:t>
      </w:r>
    </w:p>
    <w:p>
      <w:r>
        <w:rPr>
          <w:rFonts w:ascii="Times New Roman" w:hAnsi="Times New Roman" w:eastAsia="Times New Roman"/>
          <w:b w:val="0"/>
          <w:sz w:val="24"/>
        </w:rPr>
        <w:t>Проект: SystemaPro / ES TD NGO</w:t>
      </w:r>
    </w:p>
    <w:p>
      <w:r>
        <w:rPr>
          <w:rFonts w:ascii="Times New Roman" w:hAnsi="Times New Roman" w:eastAsia="Times New Roman"/>
          <w:b w:val="0"/>
          <w:sz w:val="24"/>
        </w:rPr>
        <w:t>Дата: 17.07.2026</w:t>
      </w:r>
    </w:p>
    <w:p>
      <w:r>
        <w:rPr>
          <w:rFonts w:ascii="Times New Roman" w:hAnsi="Times New Roman" w:eastAsia="Times New Roman"/>
          <w:b w:val="0"/>
          <w:sz w:val="24"/>
        </w:rPr>
        <w:t>Версии: 3.7.7 → 3.7.8 → 3.7.9 (APK 3.7.9+46)</w:t>
      </w:r>
    </w:p>
    <w:p>
      <w:r>
        <w:rPr>
          <w:rFonts w:ascii="Times New Roman" w:hAnsi="Times New Roman" w:eastAsia="Times New Roman"/>
          <w:b w:val="0"/>
          <w:sz w:val="24"/>
        </w:rPr>
        <w:t>Прод: https://neftcontrol.ru/</w:t>
      </w:r>
    </w:p>
    <w:p>
      <w:r>
        <w:rPr>
          <w:rFonts w:ascii="Times New Roman" w:hAnsi="Times New Roman" w:eastAsia="Times New Roman"/>
          <w:b w:val="0"/>
          <w:sz w:val="24"/>
        </w:rPr>
        <w:t>API: версия 3.7.9 (ready)</w:t>
      </w:r>
    </w:p>
    <w:p>
      <w:pPr>
        <w:pStyle w:val="Heading2"/>
      </w:pPr>
      <w:r>
        <w:rPr>
          <w:color w:val="1A1A1A"/>
        </w:rPr>
        <w:t>1. Цель работ</w:t>
      </w:r>
    </w:p>
    <w:p>
      <w:r>
        <w:rPr>
          <w:rFonts w:ascii="Times New Roman" w:hAnsi="Times New Roman" w:eastAsia="Times New Roman"/>
          <w:b w:val="0"/>
          <w:sz w:val="24"/>
        </w:rPr>
        <w:t>Закрыть замечания к оформлению технического отчёта ТО (форма to-1) по аннотированному PDF и обеспечить полный путь данных: задание (web) → обследование (mobile) → генерация Word/PDF.</w:t>
      </w:r>
    </w:p>
    <w:p>
      <w:pPr>
        <w:pStyle w:val="Heading2"/>
      </w:pPr>
      <w:r>
        <w:rPr>
          <w:color w:val="1A1A1A"/>
        </w:rPr>
        <w:t>2. Исходные замечания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Титул и разделы 1–15 не заполнялись (данные были только в приложениях).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Местонахождение оборудования попадало в графу заказчика.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отсутствующих документов стояли «—» / «отсутствует» вместо «Не предоставлено».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Ломалась читаемость размеров и марки стали (09Г2С) в узких колонках.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Дублировался номер «Таблица № 6».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 хватало полей в web (договор, сроки) и mobile (формулировки, опасность среды и т.д.).</w:t>
      </w:r>
    </w:p>
    <w:p>
      <w:r>
        <w:rPr>
          <w:rFonts w:ascii="Times New Roman" w:hAnsi="Times New Roman" w:eastAsia="Times New Roman"/>
          <w:b w:val="0"/>
          <w:sz w:val="24"/>
        </w:rPr>
        <w:t>Корневая причина: основной текст to-1.docx находится внутри Word content control (SDT); filler раньше видел в основном приложения.</w:t>
      </w:r>
    </w:p>
    <w:p>
      <w:pPr>
        <w:pStyle w:val="Heading2"/>
      </w:pPr>
      <w:r>
        <w:rPr>
          <w:color w:val="1A1A1A"/>
        </w:rPr>
        <w:t>3. Исправления генерации отчёта (to-1)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Проблема</w:t>
            </w:r>
          </w:p>
        </w:tc>
        <w:tc>
          <w:tcPr>
            <w:tcW w:type="dxa" w:w="4844"/>
          </w:tcPr>
          <w:p>
            <w:r>
              <w:t>Решение</w:t>
            </w:r>
          </w:p>
        </w:tc>
      </w:tr>
      <w:tr>
        <w:tc>
          <w:tcPr>
            <w:tcW w:type="dxa" w:w="4844"/>
          </w:tcPr>
          <w:p>
            <w:r>
              <w:t>Пустой титул и разд. 1–15</w:t>
            </w:r>
          </w:p>
        </w:tc>
        <w:tc>
          <w:tcPr>
            <w:tcW w:type="dxa" w:w="4844"/>
          </w:tcPr>
          <w:p>
            <w:r>
              <w:t>Заполнение SDT: титул, заказчик, исполнитель, специалисты, приборы, объекты, теххарактеристика, работы, документы, предыдущие ТО, результаты, выводы</w:t>
            </w:r>
          </w:p>
        </w:tc>
      </w:tr>
      <w:tr>
        <w:tc>
          <w:tcPr>
            <w:tcW w:type="dxa" w:w="4844"/>
          </w:tcPr>
          <w:p>
            <w:r>
              <w:t>СОДЕРЖАНИЕ не с новой страницы</w:t>
            </w:r>
          </w:p>
        </w:tc>
        <w:tc>
          <w:tcPr>
            <w:tcW w:type="dxa" w:w="4844"/>
          </w:tcPr>
          <w:p>
            <w:r>
              <w:t>Разрыв страницы перед оглавлением</w:t>
            </w:r>
          </w:p>
        </w:tc>
      </w:tr>
      <w:tr>
        <w:tc>
          <w:tcPr>
            <w:tcW w:type="dxa" w:w="4844"/>
          </w:tcPr>
          <w:p>
            <w:r>
              <w:t>Задвоение «Таблица № 6»</w:t>
            </w:r>
          </w:p>
        </w:tc>
        <w:tc>
          <w:tcPr>
            <w:tcW w:type="dxa" w:w="4844"/>
          </w:tcPr>
          <w:p>
            <w:r>
              <w:t>У раздела 10 → Таблица № 7</w:t>
            </w:r>
          </w:p>
        </w:tc>
      </w:tr>
      <w:tr>
        <w:tc>
          <w:tcPr>
            <w:tcW w:type="dxa" w:w="4844"/>
          </w:tcPr>
          <w:p>
            <w:r>
              <w:t>Местонахождение в шапке приложений</w:t>
            </w:r>
          </w:p>
        </w:tc>
        <w:tc>
          <w:tcPr>
            <w:tcW w:type="dxa" w:w="4844"/>
          </w:tcPr>
          <w:p>
            <w:r>
              <w:t>Последний сегмент иерархии заказчика → место нахождения</w:t>
            </w:r>
          </w:p>
        </w:tc>
      </w:tr>
      <w:tr>
        <w:tc>
          <w:tcPr>
            <w:tcW w:type="dxa" w:w="4844"/>
          </w:tcPr>
          <w:p>
            <w:r>
              <w:t>Статус документов</w:t>
            </w:r>
          </w:p>
        </w:tc>
        <w:tc>
          <w:tcPr>
            <w:tcW w:type="dxa" w:w="4844"/>
          </w:tcPr>
          <w:p>
            <w:r>
              <w:t>«Не предоставлено» при отсутствии</w:t>
            </w:r>
          </w:p>
        </w:tc>
      </w:tr>
      <w:tr>
        <w:tc>
          <w:tcPr>
            <w:tcW w:type="dxa" w:w="4844"/>
          </w:tcPr>
          <w:p>
            <w:r>
              <w:t>«09Г2С», даты</w:t>
            </w:r>
          </w:p>
        </w:tc>
        <w:tc>
          <w:tcPr>
            <w:tcW w:type="dxa" w:w="4844"/>
          </w:tcPr>
          <w:p>
            <w:r>
              <w:t>noWrap в узких ячейках</w:t>
            </w:r>
          </w:p>
        </w:tc>
      </w:tr>
      <w:tr>
        <w:tc>
          <w:tcPr>
            <w:tcW w:type="dxa" w:w="4844"/>
          </w:tcPr>
          <w:p>
            <w:r>
              <w:t>ВИК: шероховатость / освещённость</w:t>
            </w:r>
          </w:p>
        </w:tc>
        <w:tc>
          <w:tcPr>
            <w:tcW w:type="dxa" w:w="4844"/>
          </w:tcPr>
          <w:p>
            <w:r>
              <w:t>Значения по умолчанию в таблице приборов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  <w:t>Файл: backend/form_template_filler.py</w:t>
      </w:r>
    </w:p>
    <w:p>
      <w:pPr>
        <w:pStyle w:val="Heading2"/>
      </w:pPr>
      <w:r>
        <w:rPr>
          <w:color w:val="1A1A1A"/>
        </w:rPr>
        <w:t>4. Веб: выдача задания (3.7.9)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Форма ТО (report_form_id)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№ и дата договора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Период работ (с / по)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Основание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№ технологической карты</w:t>
      </w:r>
    </w:p>
    <w:p>
      <w:r>
        <w:rPr>
          <w:rFonts w:ascii="Times New Roman" w:hAnsi="Times New Roman" w:eastAsia="Times New Roman"/>
          <w:b w:val="0"/>
          <w:sz w:val="24"/>
        </w:rPr>
        <w:t>Данные хранятся в assignments, отдаются в mobile API и подмешиваются в inspection.data при генерации отчёта.</w:t>
      </w:r>
    </w:p>
    <w:p>
      <w:pPr>
        <w:pStyle w:val="Heading2"/>
      </w:pPr>
      <w:r>
        <w:rPr>
          <w:color w:val="1A1A1A"/>
        </w:rPr>
        <w:t>5. Мобильное приложение</w:t>
      </w:r>
    </w:p>
    <w:p>
      <w:pPr>
        <w:pStyle w:val="Heading3"/>
      </w:pPr>
      <w:r>
        <w:rPr>
          <w:color w:val="1A1A1A"/>
        </w:rPr>
        <w:t>3.7.7 — UX и нормативы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Схема контроля на карте обследования; блокировка подписания без таблички/схемы/УЗТ/заключения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Светлая тема; загрузка нормативных PDF/DOC/DOCX; превью разделов шаблона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Русские подписи типов обследований и статусов</w:t>
      </w:r>
    </w:p>
    <w:p>
      <w:pPr>
        <w:pStyle w:val="Heading3"/>
      </w:pPr>
      <w:r>
        <w:rPr>
          <w:color w:val="1A1A1A"/>
        </w:rPr>
        <w:t>3.7.8–3.7.9 — данные для отчёта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Класс опасности, взрыво-/пожароопасность, условное обозначение, схема подключения, климатическое исполнение, масса, циклы, срок службы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Расчётная толщина и сварка по элементам корпуса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Выпадающие формулировки разд. 14–15 и анализа документации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Оперативная (функциональная) диагностика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Автоподтягивание договора / сроков / техкарты из задания</w:t>
      </w:r>
    </w:p>
    <w:p>
      <w:pPr>
        <w:pStyle w:val="Heading2"/>
      </w:pPr>
      <w:r>
        <w:rPr>
          <w:color w:val="1A1A1A"/>
        </w:rPr>
        <w:t>6. Деплой (прод)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Компонент</w:t>
            </w:r>
          </w:p>
        </w:tc>
        <w:tc>
          <w:tcPr>
            <w:tcW w:type="dxa" w:w="4844"/>
          </w:tcPr>
          <w:p>
            <w:r>
              <w:t>Статус</w:t>
            </w:r>
          </w:p>
        </w:tc>
      </w:tr>
      <w:tr>
        <w:tc>
          <w:tcPr>
            <w:tcW w:type="dxa" w:w="4844"/>
          </w:tcPr>
          <w:p>
            <w:r>
              <w:t>Backend API</w:t>
            </w:r>
          </w:p>
        </w:tc>
        <w:tc>
          <w:tcPr>
            <w:tcW w:type="dxa" w:w="4844"/>
          </w:tcPr>
          <w:p>
            <w:r>
              <w:t>3.7.9, /ready OK</w:t>
            </w:r>
          </w:p>
        </w:tc>
      </w:tr>
      <w:tr>
        <w:tc>
          <w:tcPr>
            <w:tcW w:type="dxa" w:w="4844"/>
          </w:tcPr>
          <w:p>
            <w:r>
              <w:t>Web (frontend)</w:t>
            </w:r>
          </w:p>
        </w:tc>
        <w:tc>
          <w:tcPr>
            <w:tcW w:type="dxa" w:w="4844"/>
          </w:tcPr>
          <w:p>
            <w:r>
              <w:t>обновлён, Changelog 3.7.7–3.7.9</w:t>
            </w:r>
          </w:p>
        </w:tc>
      </w:tr>
      <w:tr>
        <w:tc>
          <w:tcPr>
            <w:tcW w:type="dxa" w:w="4844"/>
          </w:tcPr>
          <w:p>
            <w:r>
              <w:t>APK</w:t>
            </w:r>
          </w:p>
        </w:tc>
        <w:tc>
          <w:tcPr>
            <w:tcW w:type="dxa" w:w="4844"/>
          </w:tcPr>
          <w:p>
            <w:r>
              <w:t>3.7.9+46, ~75 МБ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  <w:t>APK: https://neftcontrol.ru/mobile/es-td-ngo-3.7.9-46.apk</w:t>
      </w:r>
    </w:p>
    <w:p>
      <w:r>
        <w:rPr>
          <w:rFonts w:ascii="Times New Roman" w:hAnsi="Times New Roman" w:eastAsia="Times New Roman"/>
          <w:b w:val="0"/>
          <w:sz w:val="24"/>
        </w:rPr>
        <w:t>APK (зеркало): https://neftcontrol.ru/mobile/app-release.apk</w:t>
      </w:r>
    </w:p>
    <w:p>
      <w:pPr>
        <w:pStyle w:val="Heading2"/>
      </w:pPr>
      <w:r>
        <w:rPr>
          <w:color w:val="1A1A1A"/>
        </w:rPr>
        <w:t>7. Как проверить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1. Создать задание: договор, период, техкарта, форма to-1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2. Установить APK 3.7.9+46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3. Заполнить обследование (теххарактеристика, диагностика, документы, схема/УЗТ)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4. Синхронизировать и сгенерировать Word/PDF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5. Проверить титул, разд. 1–2, 9–15 и шапки приложений</w:t>
      </w:r>
    </w:p>
    <w:p>
      <w:pPr>
        <w:pStyle w:val="Heading2"/>
      </w:pPr>
      <w:r>
        <w:rPr>
          <w:color w:val="1A1A1A"/>
        </w:rPr>
        <w:t>8. На следующие итерации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Библиотека схем / загрузка файла схемы-техкарты на задании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Реестр приборов ВИК (шероховатость, люксметр) как отдельные карточки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Заполнение остальных форм ТО тем же качеством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Версионирование отчётов в БД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Договор на уровне проекта/клиента с автоподстановкой</w:t>
      </w:r>
    </w:p>
    <w:p>
      <w:pPr>
        <w:pStyle w:val="Heading2"/>
      </w:pPr>
      <w:r>
        <w:rPr>
          <w:color w:val="1A1A1A"/>
        </w:rPr>
        <w:t>9. Changelog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Версия</w:t>
            </w:r>
          </w:p>
        </w:tc>
        <w:tc>
          <w:tcPr>
            <w:tcW w:type="dxa" w:w="4844"/>
          </w:tcPr>
          <w:p>
            <w:r>
              <w:t>Содержание</w:t>
            </w:r>
          </w:p>
        </w:tc>
      </w:tr>
      <w:tr>
        <w:tc>
          <w:tcPr>
            <w:tcW w:type="dxa" w:w="4844"/>
          </w:tcPr>
          <w:p>
            <w:r>
              <w:t>3.7.7</w:t>
            </w:r>
          </w:p>
        </w:tc>
        <w:tc>
          <w:tcPr>
            <w:tcW w:type="dxa" w:w="4844"/>
          </w:tcPr>
          <w:p>
            <w:r>
              <w:t>Mobile UX, светлая тема, нормативы PDF/DOCX, превью шаблонов, русские подписи</w:t>
            </w:r>
          </w:p>
        </w:tc>
      </w:tr>
      <w:tr>
        <w:tc>
          <w:tcPr>
            <w:tcW w:type="dxa" w:w="4844"/>
          </w:tcPr>
          <w:p>
            <w:r>
              <w:t>3.7.8</w:t>
            </w:r>
          </w:p>
        </w:tc>
        <w:tc>
          <w:tcPr>
            <w:tcW w:type="dxa" w:w="4844"/>
          </w:tcPr>
          <w:p>
            <w:r>
              <w:t>Заполнение SDT to-1, исправления замечаний PDF, поля опасности/толщин</w:t>
            </w:r>
          </w:p>
        </w:tc>
      </w:tr>
      <w:tr>
        <w:tc>
          <w:tcPr>
            <w:tcW w:type="dxa" w:w="4844"/>
          </w:tcPr>
          <w:p>
            <w:r>
              <w:t>3.7.9</w:t>
            </w:r>
          </w:p>
        </w:tc>
        <w:tc>
          <w:tcPr>
            <w:tcW w:type="dxa" w:w="4844"/>
          </w:tcPr>
          <w:p>
            <w:r>
              <w:t>Договор/сроки/техкарта на задании → отчёт; выпадающие формулировки; приборы ВИК по умолчанию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