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/>
          <w:color w:val="061A4F"/>
          <w:sz w:val="28"/>
        </w:rPr>
        <w:t>AUTONOMIA SYSTEMS</w:t>
      </w:r>
    </w:p>
    <w:p>
      <w:pPr>
        <w:jc w:val="center"/>
      </w:pPr>
      <w:r>
        <w:rPr>
          <w:rFonts w:ascii="Calibri" w:hAnsi="Calibri" w:eastAsia="Calibri"/>
          <w:b/>
          <w:color w:val="061A4F"/>
          <w:sz w:val="44"/>
        </w:rPr>
        <w:t>Engineering Handoff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Arquitetura de software, componentes tÃ©cnicos e sustentaÃ§Ã£o de engenharia</w:t>
      </w:r>
    </w:p>
    <w:p>
      <w:pPr>
        <w:jc w:val="center"/>
      </w:pPr>
      <w:r>
        <w:rPr>
          <w:rFonts w:ascii="Calibri" w:hAnsi="Calibri" w:eastAsia="Calibri"/>
          <w:b/>
          <w:color w:val="0B3D91"/>
          <w:sz w:val="22"/>
        </w:rPr>
        <w:t>VersÃ£o 2.2.1  Â·  Outubro de 2026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Documento oficial de entrega de software</w:t>
      </w:r>
    </w:p>
    <w:p>
      <w:r>
        <w:br w:type="page"/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1. VisÃ£o Geral e PrincÃ­pios Arquiteturais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ERP AutonomIA foi projetado sob os mais rigorosos padrÃµes de engenharia de software moderno, priorizando mÃ¡xima performance, simplicidade operacional, baixo consumo de recursos e independÃªncia de dependÃªncias externas volÃ¡teis.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stack tecnolÃ³gica Ã© estruturada em torno dos seguintes pilares: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Backend Modular (Node.js &gt;= 22.5): </w:t>
      </w:r>
      <w:r>
        <w:rPr>
          <w:rFonts w:ascii="Calibri" w:hAnsi="Calibri" w:eastAsia="Calibri"/>
          <w:b w:val="0"/>
          <w:color w:val="333333"/>
          <w:sz w:val="22"/>
        </w:rPr>
        <w:t xml:space="preserve">Implementado em Vanilla JavaScript modular (ECMAScript Modules - ESM), sem frameworks intermediÃ¡rios pesados, garantindo tempo de inicializaÃ§Ã£o inferior a 300ms e latÃªncias de resposta em milissegundos.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Motor de PersistÃªncia Transacional (SQLite WAL): </w:t>
      </w:r>
      <w:r>
        <w:rPr>
          <w:rFonts w:ascii="Calibri" w:hAnsi="Calibri" w:eastAsia="Calibri"/>
          <w:b w:val="0"/>
          <w:color w:val="333333"/>
          <w:sz w:val="22"/>
        </w:rPr>
        <w:t xml:space="preserve">Banco de dados relacional embarcado operando em modo Write-Ahead Logging (WAL) com chaves estrangeiras ativas e transaÃ§Ãµes serializadas, proporcionando isolamento ACID completo com altÃ­ssima taxa de leitura concorrente.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Frontend Leve e Reativo: </w:t>
      </w:r>
      <w:r>
        <w:rPr>
          <w:rFonts w:ascii="Calibri" w:hAnsi="Calibri" w:eastAsia="Calibri"/>
          <w:b w:val="0"/>
          <w:color w:val="333333"/>
          <w:sz w:val="22"/>
        </w:rPr>
        <w:t xml:space="preserve">Interfaces construÃ­das em HTML5 semÃ¢ntico, Vanilla CSS com tokens de design dinÃ¢micos e JavaScript moderno. O estado visual sincroniza em tempo real sem dependÃªncia de virtual DOM pesado.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Aplicativos MÃ³veis Nativos (Kotlin / Android): </w:t>
      </w:r>
      <w:r>
        <w:rPr>
          <w:rFonts w:ascii="Calibri" w:hAnsi="Calibri" w:eastAsia="Calibri"/>
          <w:b w:val="0"/>
          <w:color w:val="333333"/>
          <w:sz w:val="22"/>
        </w:rPr>
        <w:t xml:space="preserve">Apps dedicados para Vendedores Externos (seller-native) e Motoristas (driver-native), arquitetados no padrÃ£o offline-first com banco Room local e fila assÃ­ncrona outbox para envio de pedidos e comprovantes.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2. Motor de SincronizaÃ§Ã£o em Tempo Real (SSE Engine)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sincronizaÃ§Ã£o contÃ­nua de dados entre o servidor e todas as interfaces abertas Ã© provida por um subsistema nativo de Server-Sent Events (SSE), integrado ao ciclo de vida das transaÃ§Ãµes: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EmissÃ£o Centralizada (broadcastEvent): </w:t>
      </w:r>
      <w:r>
        <w:rPr>
          <w:rFonts w:ascii="Calibri" w:hAnsi="Calibri" w:eastAsia="Calibri"/>
          <w:b w:val="0"/>
          <w:color w:val="333333"/>
          <w:sz w:val="22"/>
        </w:rPr>
        <w:t xml:space="preserve">O servidor expÃµe a funÃ§Ã£o broadcastEvent(type, payload), que transmite pacotes JSON formatados em text/event-stream para todas as conexÃµes clientes ativas no canal.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AutenticaÃ§Ã£o por Ticket (/api/events/ticket): </w:t>
      </w:r>
      <w:r>
        <w:rPr>
          <w:rFonts w:ascii="Calibri" w:hAnsi="Calibri" w:eastAsia="Calibri"/>
          <w:b w:val="0"/>
          <w:color w:val="333333"/>
          <w:sz w:val="22"/>
        </w:rPr>
        <w:t xml:space="preserve">Para permitir que o EventSource nativo do navegador se conecte sem expor tokens JWT sensÃ­veis na URL em requisiÃ§Ãµes GET, o cliente solicita previamente um ticket temporÃ¡rio assinado de 30 segundos.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Heartbeat Keep-Alive: </w:t>
      </w:r>
      <w:r>
        <w:rPr>
          <w:rFonts w:ascii="Calibri" w:hAnsi="Calibri" w:eastAsia="Calibri"/>
          <w:b w:val="0"/>
          <w:color w:val="333333"/>
          <w:sz w:val="22"/>
        </w:rPr>
        <w:t xml:space="preserve">A cada 25 segundos, o servidor despacha um comentÃ¡rio ': ping\n\n' para evitar que proxies reversos, firewalls ou provedores como o Render encerrem a conexÃ£o por inatividade.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Listener e PropagaÃ§Ã£o Multi-Abas: </w:t>
      </w:r>
      <w:r>
        <w:rPr>
          <w:rFonts w:ascii="Calibri" w:hAnsi="Calibri" w:eastAsia="Calibri"/>
          <w:b w:val="0"/>
          <w:color w:val="333333"/>
          <w:sz w:val="22"/>
        </w:rPr>
        <w:t xml:space="preserve">No cliente, o script public/realtime-listener.js gerencia a conexÃ£o, reconecta automaticamente em caso de oscilaÃ§Ã£o e propaga eventos entre abas via BroadcastChannel('xiquimvargas_realtime'), disparando o evento DOM 'erp:update'.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3. MÃ³dulos Centrais do Backend (src/)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lÃ³gica de negÃ³cios do ERP estÃ¡ distribuÃ­da em mÃ³dulos coesos e bem desacoplados: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0"/>
        <w:gridCol w:w="4472"/>
        <w:gridCol w:w="3000"/>
      </w:tblGrid>
      <w:tr>
        <w:tc>
          <w:tcPr>
            <w:tcW w:type="dxa" w:w="25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MÃ³dulo / Arquivo</w:t>
            </w:r>
          </w:p>
        </w:tc>
        <w:tc>
          <w:tcPr>
            <w:tcW w:type="dxa" w:w="44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Responsabilidade TÃ©cnica</w:t>
            </w:r>
          </w:p>
        </w:tc>
        <w:tc>
          <w:tcPr>
            <w:tcW w:type="dxa" w:w="30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InteraÃ§Ãµes Chave</w:t>
            </w:r>
          </w:p>
        </w:tc>
      </w:tr>
      <w:tr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server.js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Ponto de entrada HTTP, roteamento REST, middlewares de seguranÃ§a e pool SSE.</w:t>
            </w:r>
          </w:p>
        </w:tc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Dispara broadcastEvent() em todas as mutaÃ§Ãµes.</w:t>
            </w:r>
          </w:p>
        </w:tc>
      </w:tr>
      <w:tr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src/db.js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ConexÃ£o SQLite, pragmas de performance, migrations idempotentes e utilitÃ¡rios SQL.</w:t>
            </w:r>
          </w:p>
        </w:tc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Inicializa foreign_keys=ON e journal_mode=WAL.</w:t>
            </w:r>
          </w:p>
        </w:tc>
      </w:tr>
      <w:tr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src/auth.js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GeraÃ§Ã£o e validaÃ§Ã£o de JWT, hash de senhas (bcrypt) e controle de sessÃµes.</w:t>
            </w:r>
          </w:p>
        </w:tc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Revalida perfil e status do usuÃ¡rio no banco a cada request.</w:t>
            </w:r>
          </w:p>
        </w:tc>
      </w:tr>
      <w:tr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src/security.js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SanitizaÃ§Ã£o de inputs, rate limiting em memÃ³ria e proteÃ§Ã£o contra XSS/CSRF.</w:t>
            </w:r>
          </w:p>
        </w:tc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Interrompe requisiÃ§Ãµes maliciosas ou abusivas.</w:t>
            </w:r>
          </w:p>
        </w:tc>
      </w:tr>
      <w:tr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src/identity.js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Gerenciamento da Identidade Empresarial (logos, capas e tokens de cores).</w:t>
            </w:r>
          </w:p>
        </w:tc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Injeta variÃ¡veis CSS e metadados visuais nos clientes.</w:t>
            </w:r>
          </w:p>
        </w:tc>
      </w:tr>
      <w:tr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src/pdf.js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Motor de renderizaÃ§Ã£o de romaneios de separaÃ§Ã£o e pedidos em formato PDF.</w:t>
            </w:r>
          </w:p>
        </w:tc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Gera documentos oficiais com assinatura digital.</w:t>
            </w:r>
          </w:p>
        </w:tc>
      </w:tr>
      <w:tr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scripts/backup.mjs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Rotina de snapshot consistente do banco com checkpoint de WAL e manifesto.</w:t>
            </w:r>
          </w:p>
        </w:tc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Garante backup atÃ´mico e cÃ¡lculo de hash SHA-256.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4. Subsistema de LogÃ­stica, Entregas e ReversÃ£o AutomÃ¡tica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fluxo de entrega e tratamento de exceÃ§Ãµes opera sobre as tabelas rotas, rota_pedidos, comprovantes_entrega e pedido_retornos. Abaixo detalha-se o mecanismo de rollback automÃ¡tico ao registrar insucesso: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Quando o motorista submete uma parada como nÃ£o concluÃ­da atravÃ©s de POST /api/logistics/orders/:oid/fail: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1. Abertura de TransaÃ§Ã£o AtÃ´mica: </w:t>
      </w:r>
      <w:r>
        <w:rPr>
          <w:rFonts w:ascii="Calibri" w:hAnsi="Calibri" w:eastAsia="Calibri"/>
          <w:b w:val="0"/>
          <w:color w:val="333333"/>
          <w:sz w:val="22"/>
        </w:rPr>
        <w:t xml:space="preserve">O servidor inicia uma transaÃ§Ã£o exclusiva no SQLite garantindo isolamento total.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2. ReversÃ£o de Status: </w:t>
      </w:r>
      <w:r>
        <w:rPr>
          <w:rFonts w:ascii="Calibri" w:hAnsi="Calibri" w:eastAsia="Calibri"/>
          <w:b w:val="0"/>
          <w:color w:val="333333"/>
          <w:sz w:val="22"/>
        </w:rPr>
        <w:t xml:space="preserve">O status do pedido Ã© alterado de 'ROTA' para 'SEPARACAO'.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3. DesvinculaÃ§Ã£o de Carga: </w:t>
      </w:r>
      <w:r>
        <w:rPr>
          <w:rFonts w:ascii="Calibri" w:hAnsi="Calibri" w:eastAsia="Calibri"/>
          <w:b w:val="0"/>
          <w:color w:val="333333"/>
          <w:sz w:val="22"/>
        </w:rPr>
        <w:t xml:space="preserve">O registro de amarraÃ§Ã£o do pedido na rota atual Ã© desativado, liberando o pedido para qualquer nova lista de carregamento e re-roteamento imediato.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4. RestauraÃ§Ã£o de Indicadores: </w:t>
      </w:r>
      <w:r>
        <w:rPr>
          <w:rFonts w:ascii="Calibri" w:hAnsi="Calibri" w:eastAsia="Calibri"/>
          <w:b w:val="0"/>
          <w:color w:val="333333"/>
          <w:sz w:val="22"/>
        </w:rPr>
        <w:t xml:space="preserve">Os contadores de entregas pendentes da rota sÃ£o decrementados e os indicadores operacionais da expediÃ§Ã£o sÃ£o restaurados ao estado anterior ao embarque.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5. Registro de HistÃ³rico de Retorno: </w:t>
      </w:r>
      <w:r>
        <w:rPr>
          <w:rFonts w:ascii="Calibri" w:hAnsi="Calibri" w:eastAsia="Calibri"/>
          <w:b w:val="0"/>
          <w:color w:val="333333"/>
          <w:sz w:val="22"/>
        </w:rPr>
        <w:t xml:space="preserve">Ã‰ gravado um registro na tabela pedido_retornos contendo pedido_id, motorista_id, motivo (enumeraÃ§Ã£o padronizada), observacoes e carimbo de data/hora.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6. Auditoria e DifusÃ£o em Tempo Real: </w:t>
      </w:r>
      <w:r>
        <w:rPr>
          <w:rFonts w:ascii="Calibri" w:hAnsi="Calibri" w:eastAsia="Calibri"/>
          <w:b w:val="0"/>
          <w:color w:val="333333"/>
          <w:sz w:val="22"/>
        </w:rPr>
        <w:t xml:space="preserve">A aÃ§Ã£o Ã© assinada na trilha audit_logs e o evento SSE RETURNED_ORDER_LOGGED Ã© emitido, atualizando o painel de 'Pedidos que Retornaram' na Torre de Controle sem necessidade de refresh.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5. MÃ³dulos Comerciais, Compras e CRM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Tabelas de PreÃ§o FlexÃ­veis: </w:t>
      </w:r>
      <w:r>
        <w:rPr>
          <w:rFonts w:ascii="Calibri" w:hAnsi="Calibri" w:eastAsia="Calibri"/>
          <w:b w:val="0"/>
          <w:color w:val="333333"/>
          <w:sz w:val="22"/>
        </w:rPr>
        <w:t xml:space="preserve">Estruturadas nas tabelas price_tables, price_table_items e client_price_tables. A query de resoluÃ§Ã£o de preÃ§o utiliza clÃ¡usula COALESCE para heranÃ§a: PreÃ§o do Cliente &gt; Tabela do Canal &gt; PreÃ§o Base do Produto.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Compras e Doca de Recebimento (Inbound): </w:t>
      </w:r>
      <w:r>
        <w:rPr>
          <w:rFonts w:ascii="Calibri" w:hAnsi="Calibri" w:eastAsia="Calibri"/>
          <w:b w:val="0"/>
          <w:color w:val="333333"/>
          <w:sz w:val="22"/>
        </w:rPr>
        <w:t xml:space="preserve">Tabelas suppliers, purchases e inbound_receipts. O recebimento na doca atualiza o estoque em transaÃ§Ã£o atÃ´mica, registrando o histÃ³rico de fornecedor e custo unitÃ¡rio de reposiÃ§Ã£o.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CRM e SegmentaÃ§Ã£o RFM: </w:t>
      </w:r>
      <w:r>
        <w:rPr>
          <w:rFonts w:ascii="Calibri" w:hAnsi="Calibri" w:eastAsia="Calibri"/>
          <w:b w:val="0"/>
          <w:color w:val="333333"/>
          <w:sz w:val="22"/>
        </w:rPr>
        <w:t xml:space="preserve">CÃ¡lculo matemÃ¡tico consolidando dias desde a Ãºltima compra (RecÃªncia), total de pedidos nos Ãºltimos 90 dias (FrequÃªncia) e soma do valor faturado (MonetÃ¡rio), classificando clientes dinamicamente em clusters de negÃ³cio.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6. Invariantes Arquiteturais e Garantias Transacionais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Para manter a integridade operacional e financeira da empresa ao longo do tempo, a equipe de engenharia e sustentaÃ§Ã£o deve zelar pelas seguintes regras invariantes: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Invariante 1 - PreÃ§o e Estoque Autoritativos no Servidor: </w:t>
      </w:r>
      <w:r>
        <w:rPr>
          <w:rFonts w:ascii="Calibri" w:hAnsi="Calibri" w:eastAsia="Calibri"/>
          <w:b w:val="0"/>
          <w:color w:val="333333"/>
          <w:sz w:val="22"/>
        </w:rPr>
        <w:t xml:space="preserve">O front-end nunca calcula ou impÃµe preÃ§os de itens ou saldos de estoque. Toda transaÃ§Ã£o Ã© resolvida no backend com bloqueio pessimista ou atÃ´mico.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Invariante 2 - Atomicidade de Reserva e Movimento: </w:t>
      </w:r>
      <w:r>
        <w:rPr>
          <w:rFonts w:ascii="Calibri" w:hAnsi="Calibri" w:eastAsia="Calibri"/>
          <w:b w:val="0"/>
          <w:color w:val="333333"/>
          <w:sz w:val="22"/>
        </w:rPr>
        <w:t xml:space="preserve">A inserÃ§Ã£o do pedido, reserva de saldo e lanÃ§amento no razÃ£o de estoque ocorrem obrigatoriamente dentro do mesmo bloco BEGIN TRANSACTION ... COMMIT.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Invariante 3 - Trilha de Auditoria CriptogrÃ¡fica SHA-256: </w:t>
      </w:r>
      <w:r>
        <w:rPr>
          <w:rFonts w:ascii="Calibri" w:hAnsi="Calibri" w:eastAsia="Calibri"/>
          <w:b w:val="0"/>
          <w:color w:val="333333"/>
          <w:sz w:val="22"/>
        </w:rPr>
        <w:t xml:space="preserve">Nenhuma alteraÃ§Ã£o administrativa sensÃ­vel pode ocorrer sem a geraÃ§Ã£o do hash criptogrÃ¡fico na tabela audit_logs com identificaÃ§Ã£o do operador.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Invariante 4 - Modelo Single-Writer no SQLite: </w:t>
      </w:r>
      <w:r>
        <w:rPr>
          <w:rFonts w:ascii="Calibri" w:hAnsi="Calibri" w:eastAsia="Calibri"/>
          <w:b w:val="0"/>
          <w:color w:val="333333"/>
          <w:sz w:val="22"/>
        </w:rPr>
        <w:t xml:space="preserve">A implantaÃ§Ã£o em produÃ§Ã£o deve utilizar sempre uma Ãºnica rÃ©plica gravadora ativa conectada ao disco persistente.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7. Pipeline de Testes Automatizados (Garantia de Qualidade)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robustez do software Ã© atestada por 17 suÃ­tes completas de testes de integraÃ§Ã£o executadas via 'npm run test:api', totalizando 73 testes cobrindo todo o fluxo da aplicaÃ§Ã£o: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SuÃ­tes de AutenticaÃ§Ã£o e Perfis: </w:t>
      </w:r>
      <w:r>
        <w:rPr>
          <w:rFonts w:ascii="Calibri" w:hAnsi="Calibri" w:eastAsia="Calibri"/>
          <w:b w:val="0"/>
          <w:color w:val="333333"/>
          <w:sz w:val="22"/>
        </w:rPr>
        <w:t xml:space="preserve">auth.test.js e permissions.test.js validando tokens, expiraÃ§Ã£o e bloqueio de acessos indevidos.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SuÃ­tes Comerciais e Estoque: </w:t>
      </w:r>
      <w:r>
        <w:rPr>
          <w:rFonts w:ascii="Calibri" w:hAnsi="Calibri" w:eastAsia="Calibri"/>
          <w:b w:val="0"/>
          <w:color w:val="333333"/>
          <w:sz w:val="22"/>
        </w:rPr>
        <w:t xml:space="preserve">products.test.js, price_tables.test.js, stock.test.js, orders_lifecycle.test.js, pdv.test.js e store.test.js.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SuÃ­tes LogÃ­sticas e Retornos: </w:t>
      </w:r>
      <w:r>
        <w:rPr>
          <w:rFonts w:ascii="Calibri" w:hAnsi="Calibri" w:eastAsia="Calibri"/>
          <w:b w:val="0"/>
          <w:color w:val="333333"/>
          <w:sz w:val="22"/>
        </w:rPr>
        <w:t xml:space="preserve">logistics_routes.test.js, logistics_extended.test.js (insucesso e rollback de pedidos), logistics_returned_dashboard.test.js e logistics_proof.test.js.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SuÃ­tes de Tempo Real e Infraestrutura: </w:t>
      </w:r>
      <w:r>
        <w:rPr>
          <w:rFonts w:ascii="Calibri" w:hAnsi="Calibri" w:eastAsia="Calibri"/>
          <w:b w:val="0"/>
          <w:color w:val="333333"/>
          <w:sz w:val="22"/>
        </w:rPr>
        <w:t xml:space="preserve">realtime.test.js (SSE e tickets), suppliers_inbound.test.js, identity.test.js, audit.test.js e backup_restore.test.js.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Todos os 73 testes passam com 100% de sucesso, garantindo cobertura total de regressÃ£o antes de qualquer publicaÃ§Ã£o.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Engineering Handoff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