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/>
          <w:color w:val="061A4F"/>
          <w:sz w:val="28"/>
        </w:rPr>
        <w:t>AUTONOMIA SYSTEMS</w:t>
      </w:r>
    </w:p>
    <w:p>
      <w:pPr>
        <w:jc w:val="center"/>
      </w:pPr>
      <w:r>
        <w:rPr>
          <w:rFonts w:ascii="Calibri" w:hAnsi="Calibri" w:eastAsia="Calibri"/>
          <w:b/>
          <w:color w:val="061A4F"/>
          <w:sz w:val="44"/>
        </w:rPr>
        <w:t>Deploy e OperaÃ§Ã£o TÃ©cnica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4"/>
        </w:rPr>
        <w:t>Render PaaS, arquitetura de persistÃªncia, streaming SSE e backup</w:t>
      </w:r>
    </w:p>
    <w:p>
      <w:pPr>
        <w:jc w:val="center"/>
      </w:pPr>
      <w:r>
        <w:rPr>
          <w:rFonts w:ascii="Calibri" w:hAnsi="Calibri" w:eastAsia="Calibri"/>
          <w:b/>
          <w:color w:val="0B3D91"/>
          <w:sz w:val="22"/>
        </w:rPr>
        <w:t>VersÃ£o 2.2.1  Â·  Outubro de 2026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Documento oficial de entrega de software</w:t>
      </w:r>
    </w:p>
    <w:p>
      <w:r>
        <w:br w:type="page"/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1. Blueprint de ImplantaÃ§Ã£o no Render (PaaS)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publicaÃ§Ã£o em produÃ§Ã£o do ERP AutonomIA Ã© padronizada para execuÃ§Ã£o em nuvem atravÃ©s de serviÃ§os gerenciados do Render PaaS (Web Service), garantindo provisionamento Ã¡gil, certificados SSL automÃ¡ticos e suporte a volumes de disco persistentes.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Tipo de ServiÃ§o: </w:t>
      </w:r>
      <w:r>
        <w:rPr>
          <w:rFonts w:ascii="Calibri" w:hAnsi="Calibri" w:eastAsia="Calibri"/>
          <w:b w:val="0"/>
          <w:color w:val="333333"/>
          <w:sz w:val="22"/>
        </w:rPr>
        <w:t xml:space="preserve">Web Service (Ambiente Node.js 22 ou superior).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Build Command: </w:t>
      </w:r>
      <w:r>
        <w:rPr>
          <w:rFonts w:ascii="Calibri" w:hAnsi="Calibri" w:eastAsia="Calibri"/>
          <w:b w:val="0"/>
          <w:color w:val="333333"/>
          <w:sz w:val="22"/>
        </w:rPr>
        <w:t xml:space="preserve">npm ci (ou npm install --omit=dev para ambiente estritamente de produÃ§Ã£o).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Start Command: </w:t>
      </w:r>
      <w:r>
        <w:rPr>
          <w:rFonts w:ascii="Calibri" w:hAnsi="Calibri" w:eastAsia="Calibri"/>
          <w:b w:val="0"/>
          <w:color w:val="333333"/>
          <w:sz w:val="22"/>
        </w:rPr>
        <w:t xml:space="preserve">npm start (inicia server.js ouvindo na porta dinÃ¢mica injetada na variÃ¡vel PORT).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Healthcheck Liveness Probe: </w:t>
      </w:r>
      <w:r>
        <w:rPr>
          <w:rFonts w:ascii="Calibri" w:hAnsi="Calibri" w:eastAsia="Calibri"/>
          <w:b w:val="0"/>
          <w:color w:val="333333"/>
          <w:sz w:val="22"/>
        </w:rPr>
        <w:t xml:space="preserve">GET /health (retorna HTTP 200 { status: 'ok' } confirmando processo ativo).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Healthcheck Readiness Probe: </w:t>
      </w:r>
      <w:r>
        <w:rPr>
          <w:rFonts w:ascii="Calibri" w:hAnsi="Calibri" w:eastAsia="Calibri"/>
          <w:b w:val="0"/>
          <w:color w:val="333333"/>
          <w:sz w:val="22"/>
        </w:rPr>
        <w:t xml:space="preserve">GET /ready (valida leitura e gravaÃ§Ã£o no SQLite, integridade de WAL e permissÃ£o de escrita em STORAGE_DIR).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2. Topologia de Disco Persistente (STORAGE_DIR)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Para assegurar a durabilidade absoluta dos dados cadastrais, movimentaÃ§Ãµes contÃ¡beis e arquivos de mÃ­dia, Ã© mandatÃ³ria a vinculaÃ§Ã£o de um Persistent Disk do Render (mÃ­nimo de 10GB recomendado), montado no caminho definido na variÃ¡vel STORAGE_DIR (ex.: /var/data).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Estrutura interna de diretÃ³rios persistidos gerenciada automaticamente pelo sistema: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/var/data/data/: </w:t>
      </w:r>
      <w:r>
        <w:rPr>
          <w:rFonts w:ascii="Calibri" w:hAnsi="Calibri" w:eastAsia="Calibri"/>
          <w:b w:val="0"/>
          <w:color w:val="333333"/>
          <w:sz w:val="22"/>
        </w:rPr>
        <w:t xml:space="preserve">Armazena o banco relacional erp.sqlite e os arquivos temporÃ¡rios erp.sqlite-wal e erp.sqlite-shm.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/var/data/storage/proofs/: </w:t>
      </w:r>
      <w:r>
        <w:rPr>
          <w:rFonts w:ascii="Calibri" w:hAnsi="Calibri" w:eastAsia="Calibri"/>
          <w:b w:val="0"/>
          <w:color w:val="333333"/>
          <w:sz w:val="22"/>
        </w:rPr>
        <w:t xml:space="preserve">RepositÃ³rio seguro de comprovantes de entrega (fotos de canhotos e assinaturas digitais capturadas pelo app do motorista).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/var/data/storage/identity/: </w:t>
      </w:r>
      <w:r>
        <w:rPr>
          <w:rFonts w:ascii="Calibri" w:hAnsi="Calibri" w:eastAsia="Calibri"/>
          <w:b w:val="0"/>
          <w:color w:val="333333"/>
          <w:sz w:val="22"/>
        </w:rPr>
        <w:t xml:space="preserve">Arquivos de identidade visual corporativa da marca (logotipo institucional, capa de login e capa da loja virtual).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/var/data/storage/products/: </w:t>
      </w:r>
      <w:r>
        <w:rPr>
          <w:rFonts w:ascii="Calibri" w:hAnsi="Calibri" w:eastAsia="Calibri"/>
          <w:b w:val="0"/>
          <w:color w:val="333333"/>
          <w:sz w:val="22"/>
        </w:rPr>
        <w:t xml:space="preserve">Imagens dos produtos cadastrados no catÃ¡logo comercial.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/var/data/storage/backups/: </w:t>
      </w:r>
      <w:r>
        <w:rPr>
          <w:rFonts w:ascii="Calibri" w:hAnsi="Calibri" w:eastAsia="Calibri"/>
          <w:b w:val="0"/>
          <w:color w:val="333333"/>
          <w:sz w:val="22"/>
        </w:rPr>
        <w:t xml:space="preserve">Snapshots consolidados e manifestos criptogrÃ¡ficos gerados pela rotina de backup.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Regra Fundamental de Arquitetura: O serviÃ§o web em produÃ§Ã£o deve operar com exatamente 1 instÃ¢ncia gravadora ativa (Single-Writer Instance). O SQLite Ã© otimizado para concorrÃªncia multi-thread na mesma mÃ¡quina, nÃ£o devendo ser compartilhado por mÃºltiplas rÃ©plicas concorrentes em rede sem camada de replicaÃ§Ã£o dedicada.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3. Matriz de VariÃ¡veis de Ambiente de ProduÃ§Ã£o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Todas as variÃ¡veis crÃ­ticas de infraestrutura devem ser configuradas na seÃ§Ã£o Environment do painel do Render como secrets protegidos: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0"/>
        <w:gridCol w:w="1600"/>
        <w:gridCol w:w="3972"/>
        <w:gridCol w:w="2200"/>
      </w:tblGrid>
      <w:tr>
        <w:tc>
          <w:tcPr>
            <w:tcW w:type="dxa" w:w="22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VariÃ¡vel</w:t>
            </w:r>
          </w:p>
        </w:tc>
        <w:tc>
          <w:tcPr>
            <w:tcW w:type="dxa" w:w="16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Obrigatoriedade</w:t>
            </w:r>
          </w:p>
        </w:tc>
        <w:tc>
          <w:tcPr>
            <w:tcW w:type="dxa" w:w="39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DescriÃ§Ã£o e FunÃ§Ã£o TÃ©cnica</w:t>
            </w:r>
          </w:p>
        </w:tc>
        <w:tc>
          <w:tcPr>
            <w:tcW w:type="dxa" w:w="22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Exemplo Recomendado</w:t>
            </w:r>
          </w:p>
        </w:tc>
      </w:tr>
      <w:tr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PORT</w:t>
            </w:r>
          </w:p>
        </w:tc>
        <w:tc>
          <w:tcPr>
            <w:tcW w:type="dxa" w:w="16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AutomÃ¡tica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Porta HTTP na qual o servidor Node.js escuta as requisiÃ§Ãµes.</w:t>
            </w:r>
          </w:p>
        </w:tc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10000</w:t>
            </w:r>
          </w:p>
        </w:tc>
      </w:tr>
      <w:tr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NODE_ENV</w:t>
            </w:r>
          </w:p>
        </w:tc>
        <w:tc>
          <w:tcPr>
            <w:tcW w:type="dxa" w:w="16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ObrigatÃ³ria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Define modo de execuÃ§Ã£o otimizado de produÃ§Ã£o.</w:t>
            </w:r>
          </w:p>
        </w:tc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production</w:t>
            </w:r>
          </w:p>
        </w:tc>
      </w:tr>
      <w:tr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STORAGE_DIR</w:t>
            </w:r>
          </w:p>
        </w:tc>
        <w:tc>
          <w:tcPr>
            <w:tcW w:type="dxa" w:w="16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ObrigatÃ³ria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Caminho do ponto de montagem do volume persistente.</w:t>
            </w:r>
          </w:p>
        </w:tc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/var/data</w:t>
            </w:r>
          </w:p>
        </w:tc>
      </w:tr>
      <w:tr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JWT_SECRET</w:t>
            </w:r>
          </w:p>
        </w:tc>
        <w:tc>
          <w:tcPr>
            <w:tcW w:type="dxa" w:w="16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CrÃ­tica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Chave criptogrÃ¡fica de alta entropia para assinatura de tokens.</w:t>
            </w:r>
          </w:p>
        </w:tc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defina_um_secret_seguro_com_mais_de_64_caracteres_hex</w:t>
            </w:r>
          </w:p>
        </w:tc>
      </w:tr>
      <w:tr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PUBLIC_BASE_URL</w:t>
            </w:r>
          </w:p>
        </w:tc>
        <w:tc>
          <w:tcPr>
            <w:tcW w:type="dxa" w:w="16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Opcional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URL canÃ´nica da empresa para geraÃ§Ã£o de links e QR Codes.</w:t>
            </w:r>
          </w:p>
        </w:tc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https://erp.xiquimvargas.com.br</w:t>
            </w:r>
          </w:p>
        </w:tc>
      </w:tr>
      <w:tr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GROQ_API_KEY</w:t>
            </w:r>
          </w:p>
        </w:tc>
        <w:tc>
          <w:tcPr>
            <w:tcW w:type="dxa" w:w="16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Opcional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Chave de acesso Ã  API do modelo de IA para o assistente gerencial.</w:t>
            </w:r>
          </w:p>
        </w:tc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gsk_live_...</w:t>
            </w:r>
          </w:p>
        </w:tc>
      </w:tr>
      <w:tr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BACKUP_RETENTION_DAYS</w:t>
            </w:r>
          </w:p>
        </w:tc>
        <w:tc>
          <w:tcPr>
            <w:tcW w:type="dxa" w:w="16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Opcional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Prazo de retenÃ§Ã£o de snapshots locais em disco.</w:t>
            </w:r>
          </w:p>
        </w:tc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30</w:t>
            </w:r>
          </w:p>
        </w:tc>
      </w:tr>
    </w:tbl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4. Streaming SSE e ConexÃµes Persistentes no Render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provedor Render implementa proxies reversos com fechamento de conexÃµes ociosas (idle timeout) de 100 segundos. Para assegurar que o fluxo em tempo real (Server-Sent Events) permaneÃ§a ativo ininterruptamente: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EmissÃ£o de Heartbeat PeriÃ³dico: </w:t>
      </w:r>
      <w:r>
        <w:rPr>
          <w:rFonts w:ascii="Calibri" w:hAnsi="Calibri" w:eastAsia="Calibri"/>
          <w:b w:val="0"/>
          <w:color w:val="333333"/>
          <w:sz w:val="22"/>
        </w:rPr>
        <w:t xml:space="preserve">O servidor despacha a cada 25 segundos um frame leve de comentÃ¡rio ': ping\n\n' em todos os canais SSE ativos, mantendo a conexÃ£o aberta sem consumo apreciÃ¡vel de trÃ¡fego.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DesativaÃ§Ã£o de Buffering: </w:t>
      </w:r>
      <w:r>
        <w:rPr>
          <w:rFonts w:ascii="Calibri" w:hAnsi="Calibri" w:eastAsia="Calibri"/>
          <w:b w:val="0"/>
          <w:color w:val="333333"/>
          <w:sz w:val="22"/>
        </w:rPr>
        <w:t xml:space="preserve">A rota /api/events aplica os cabeÃ§alhos 'X-Accel-Buffering: no' e 'Cache-Control: no-cache, no-transform', instruindo os proxies intermediÃ¡rios a encaminhar os eventos no exato instante em que ocorrem.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ReconexÃ£o Resiliente no Cliente: </w:t>
      </w:r>
      <w:r>
        <w:rPr>
          <w:rFonts w:ascii="Calibri" w:hAnsi="Calibri" w:eastAsia="Calibri"/>
          <w:b w:val="0"/>
          <w:color w:val="333333"/>
          <w:sz w:val="22"/>
        </w:rPr>
        <w:t xml:space="preserve">Caso o tÃºnel seja interrompido por oscilaÃ§Ã£o externa de rede, o listener cliente reconecta imediatamente utilizando backoff exponencial.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5. EstratÃ©gia Integrada de Backup, WAL Checkpoint e RestauraÃ§Ã£o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proteÃ§Ã£o de dados do ERP AutonomIA Ã© executada pela ferramenta nativa scripts/backup.mjs, que garante consistÃªncia fÃ­sica e matemÃ¡tica antes de gerar qualquer arquivo compactado: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1. Checkpoint de WAL (Atomic Flush): </w:t>
      </w:r>
      <w:r>
        <w:rPr>
          <w:rFonts w:ascii="Calibri" w:hAnsi="Calibri" w:eastAsia="Calibri"/>
          <w:b w:val="0"/>
          <w:color w:val="333333"/>
          <w:sz w:val="22"/>
        </w:rPr>
        <w:t xml:space="preserve">Executa o comando 'PRAGMA wal_checkpoint(TRUNCATE)' no SQLite, descarregando todas as transaÃ§Ãµes em memÃ³ria e no arquivo WAL diretamente para o erp.sqlite principal.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2. Snapshot de MÃ­dias e Comprovantes: </w:t>
      </w:r>
      <w:r>
        <w:rPr>
          <w:rFonts w:ascii="Calibri" w:hAnsi="Calibri" w:eastAsia="Calibri"/>
          <w:b w:val="0"/>
          <w:color w:val="333333"/>
          <w:sz w:val="22"/>
        </w:rPr>
        <w:t xml:space="preserve">Copia recursivamente as fotos de comprovantes de entrega (/storage/proofs), imagens de produtos e arquivos de identidade visual corporativa.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3. Manifesto e Hash SHA-256: </w:t>
      </w:r>
      <w:r>
        <w:rPr>
          <w:rFonts w:ascii="Calibri" w:hAnsi="Calibri" w:eastAsia="Calibri"/>
          <w:b w:val="0"/>
          <w:color w:val="333333"/>
          <w:sz w:val="22"/>
        </w:rPr>
        <w:t xml:space="preserve">Gera o arquivo manifest.json contendo carimbo ISO, contagem de registros por tabela e hash criptogrÃ¡fico SHA-256 de cada arquivo copiado.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4. CompactaÃ§Ã£o em Arquivo Ãšnico: </w:t>
      </w:r>
      <w:r>
        <w:rPr>
          <w:rFonts w:ascii="Calibri" w:hAnsi="Calibri" w:eastAsia="Calibri"/>
          <w:b w:val="0"/>
          <w:color w:val="333333"/>
          <w:sz w:val="22"/>
        </w:rPr>
        <w:t xml:space="preserve">Gera o pacote consolidado backup_AAAA-MM-DD_HH-mm.zip.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5.1 Procedimento de RecuperaÃ§Ã£o de Desastres (Disaster Recovery)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Em caso de falha catastrÃ³fica de infraestrutura, a restauraÃ§Ã£o do sistema Ã© executada em menos de 15 minutos seguindo estes passos: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Passo 1: </w:t>
      </w:r>
      <w:r>
        <w:rPr>
          <w:rFonts w:ascii="Calibri" w:hAnsi="Calibri" w:eastAsia="Calibri"/>
          <w:b w:val="0"/>
          <w:color w:val="333333"/>
          <w:sz w:val="22"/>
        </w:rPr>
        <w:t xml:space="preserve">Interromper o serviÃ§o web no Render temporariamente para liberar os locks de arquivo.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Passo 2: </w:t>
      </w:r>
      <w:r>
        <w:rPr>
          <w:rFonts w:ascii="Calibri" w:hAnsi="Calibri" w:eastAsia="Calibri"/>
          <w:b w:val="0"/>
          <w:color w:val="333333"/>
          <w:sz w:val="22"/>
        </w:rPr>
        <w:t xml:space="preserve">Acessar o volume de armazenamento montado em /var/data e descompactar o arquivo de backup selecionado.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Passo 3: </w:t>
      </w:r>
      <w:r>
        <w:rPr>
          <w:rFonts w:ascii="Calibri" w:hAnsi="Calibri" w:eastAsia="Calibri"/>
          <w:b w:val="0"/>
          <w:color w:val="333333"/>
          <w:sz w:val="22"/>
        </w:rPr>
        <w:t xml:space="preserve">Executar a validaÃ§Ã£o de integridade fÃ­sica atravÃ©s do comando: sqlite3 erp.sqlite 'PRAGMA integrity_check;' (deve retornar 'ok').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Passo 4: </w:t>
      </w:r>
      <w:r>
        <w:rPr>
          <w:rFonts w:ascii="Calibri" w:hAnsi="Calibri" w:eastAsia="Calibri"/>
          <w:b w:val="0"/>
          <w:color w:val="333333"/>
          <w:sz w:val="22"/>
        </w:rPr>
        <w:t xml:space="preserve">Reiniciar o serviÃ§o web no Render e validar o retorno positivo no endpoint /ready.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Deploy e Backup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