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CatÃ¡logo de API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FamÃ­lias de endpoints, contratos REST, eventos em tempo real e integraÃ§Ã£o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PadrÃµes da API REST e SeguranÃ§a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API do ERP AutonomIA expÃµe interfaces de integraÃ§Ã£o RESTful completas para consumo tanto pelas aplicaÃ§Ãµes proprietÃ¡rias (Torre de Controle, PDV, App do Vendedor, App do Motorista e Loja Online) quanto por eventuais serviÃ§os externos autorizados.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Formato de Dados: </w:t>
      </w:r>
      <w:r>
        <w:rPr>
          <w:rFonts w:ascii="Calibri" w:hAnsi="Calibri" w:eastAsia="Calibri"/>
          <w:b w:val="0"/>
          <w:color w:val="333333"/>
          <w:sz w:val="22"/>
        </w:rPr>
        <w:t xml:space="preserve">RequisiÃ§Ãµes e respostas sÃ£o estruturadas em formato JSON, utilizando codificaÃ§Ã£o UTF-8 padronizada.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AutenticaÃ§Ã£o e AutorizaÃ§Ã£o: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AutenticaÃ§Ã£o via cabeÃ§alho 'Authorization: Bearer &lt;token_jwt&gt;'. O token Ã© assinado criptograficamente com HMAC-SHA256 e tem seu conteÃºdo e perfil revalidados contra o banco de dados a cada chamada.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CÃ³digos de Status HTTP SemÃ¢nticos: </w:t>
      </w:r>
      <w:r>
        <w:rPr>
          <w:rFonts w:ascii="Calibri" w:hAnsi="Calibri" w:eastAsia="Calibri"/>
          <w:b w:val="0"/>
          <w:color w:val="333333"/>
          <w:sz w:val="22"/>
        </w:rPr>
        <w:t xml:space="preserve">200 (OK), 201 (Created), 400 (Bad Request - validaÃ§Ã£o de esquema), 401 (NÃ£o autenticado), 403 (PermissÃ£o insuficiente para o perfil), 404 (Recurso nÃ£o encontrado), 409 (Conflito de concorrÃªncia ou estoque insuficiente) e 500 (Erro interno tratado).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Tabela Geral de FamÃ­lias de Rotas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Mapeamento completo das famÃ­lias de endpoints disponÃ­veis no servidor: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4472"/>
        <w:gridCol w:w="2500"/>
      </w:tblGrid>
      <w:tr>
        <w:tc>
          <w:tcPr>
            <w:tcW w:type="dxa" w:w="30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FamÃ­lia de Rotas</w:t>
            </w:r>
          </w:p>
        </w:tc>
        <w:tc>
          <w:tcPr>
            <w:tcW w:type="dxa" w:w="44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Objetivo e Funcionalidade</w:t>
            </w:r>
          </w:p>
        </w:tc>
        <w:tc>
          <w:tcPr>
            <w:tcW w:type="dxa" w:w="25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Perfis com Acesso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/api/setup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CriaÃ§Ã£o do primeiro usuÃ¡rio administrador na instalaÃ§Ã£o inicial.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PÃºblico (desativado apÃ³s o setup)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/api/auth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AutenticaÃ§Ã£o de credenciais, emissÃ£o de JWT e consulta de perfil (/me).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Todos os usuÃ¡rios autenticados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/api/admin, /api/users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GestÃ£o de usuÃ¡rios, redefiniÃ§Ã£o de senhas, papÃ©is e auditoria digital.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/api/products, /api/categories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Cadastro e manutenÃ§Ã£o do mix de produtos, SKUs, EANs e fotos.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(leitura: todos)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/api/price-tables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GovernanÃ§a de tabelas de preÃ§o diferenciadas por canal e por cliente.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/api/stock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Consultas de saldo fÃ­sico/reservado/disponÃ­vel e movimentaÃ§Ãµes de ajuste.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Estoquista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/api/clients, /api/seller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Cadastro unificado de clientes, carteira de vendas e pedidos externos.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Vendedor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/api/orders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Ciclo de vida do pedido: emissÃ£o, avanÃ§o de separaÃ§Ã£o e cancelamento.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Administrador, Vendedor e Caixa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/api/pdv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OperaÃ§Ã£o de frente de caixa balcÃ£o, leitura de cÃ³digos de barras e cupom.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Caixa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/api/store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CatÃ¡logo pÃºblico de produtos, carrinho de compras e checkout da Loja Online.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PÃºblico e Cliente Web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/api/logistics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CriaÃ§Ã£o de rotas, romaneios, insucesso de entrega e pedidos retornados.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Motorista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/api/suppliers, /api/purchases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GestÃ£o de fornecedores, ordens de compra e cotaÃ§Ãµes de reposiÃ§Ã£o.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Compras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/api/inbound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Doca de recebimento de mercadorias e entrada contÃ¡bil no estoque.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Estoquista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/api/events, /api/events/ticket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Handshake de ticket temporÃ¡rio e streaming de eventos em tempo real (SSE).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Todos os usuÃ¡rios autenticados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/api/crm/dashboard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RelatÃ³rios analÃ­ticos de clientes e pontuaÃ§Ã£o da matriz RFM.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e GerÃªncia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/api/identity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ConfiguraÃ§Ã£o de logotipo, capas, cores e dados institucionais da marca.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 (leitura: pÃºblico)</w:t>
            </w:r>
          </w:p>
        </w:tc>
      </w:tr>
      <w:tr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/api/admin/ia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Assistente executivo inteligente integrado ao modelo Groq IA.</w:t>
            </w:r>
          </w:p>
        </w:tc>
        <w:tc>
          <w:tcPr>
            <w:tcW w:type="dxa" w:w="25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</w:t>
            </w:r>
          </w:p>
        </w:tc>
      </w:tr>
      <w:tr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/health, /ready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Sondas de monitoramento de infraestrutura (liveness e readiness probes).</w:t>
            </w:r>
          </w:p>
        </w:tc>
        <w:tc>
          <w:tcPr>
            <w:tcW w:type="dxa" w:w="25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Monitoramento / PÃºblico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Endpoints Chave de LogÃ­stica, Entregas e Retornos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Endpoints especializados para a operaÃ§Ã£o mÃ³vel de entregas e gestÃ£o de devoluÃ§Ãµes: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3.1 POST /api/logistics/orders/:oid/fail (Insucesso na Entrega)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Acionado pelo aplicativo do motorista quando uma parada nÃ£o puder ser concluÃ­da: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ParÃ¢metro de Rota: </w:t>
      </w:r>
      <w:r>
        <w:rPr>
          <w:rFonts w:ascii="Calibri" w:hAnsi="Calibri" w:eastAsia="Calibri"/>
          <w:b w:val="0"/>
          <w:color w:val="333333"/>
          <w:sz w:val="22"/>
        </w:rPr>
        <w:t xml:space="preserve">:oid (ID numÃ©rico do pedido a ser marcado).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Payload JSON: </w:t>
      </w:r>
      <w:r>
        <w:rPr>
          <w:rFonts w:ascii="Calibri" w:hAnsi="Calibri" w:eastAsia="Calibri"/>
          <w:b w:val="0"/>
          <w:color w:val="333333"/>
          <w:sz w:val="22"/>
        </w:rPr>
        <w:t xml:space="preserve">{ "reason": "Cliente nÃ£o se encontra", "notes": "Tentativa realizada Ã s 14:35, portÃ£o fechado" }.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Motivos VÃ¡lidos: </w:t>
      </w:r>
      <w:r>
        <w:rPr>
          <w:rFonts w:ascii="Calibri" w:hAnsi="Calibri" w:eastAsia="Calibri"/>
          <w:b w:val="0"/>
          <w:color w:val="333333"/>
          <w:sz w:val="22"/>
        </w:rPr>
        <w:t xml:space="preserve">'Cliente nÃ£o se encontra', 'Cliente se recusou a receber', 'Pedido incorreto', 'Problemas com o veÃ­culo', 'Imprevisto com a equipe', 'Outros motivos'.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Comportamento Transacional: </w:t>
      </w:r>
      <w:r>
        <w:rPr>
          <w:rFonts w:ascii="Calibri" w:hAnsi="Calibri" w:eastAsia="Calibri"/>
          <w:b w:val="0"/>
          <w:color w:val="333333"/>
          <w:sz w:val="22"/>
        </w:rPr>
        <w:t xml:space="preserve">Reverte o status do pedido para 'SEPARACAO', remove a associaÃ§Ã£o com a rota atual, decrementa os contadores da viagem, insere na tabela 'pedido_retornos' e transmite evento SSE instantÃ¢neo.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Resposta de Sucesso (HTTP 200): </w:t>
      </w:r>
      <w:r>
        <w:rPr>
          <w:rFonts w:ascii="Calibri" w:hAnsi="Calibri" w:eastAsia="Calibri"/>
          <w:b w:val="0"/>
          <w:color w:val="333333"/>
          <w:sz w:val="22"/>
        </w:rPr>
        <w:t xml:space="preserve">{ "ok": true, "message": "Entrega marcada como nÃ£o concluÃ­da. Pedido revertido para separaÃ§Ã£o.", "order_id": 142 }.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3.2 GET /api/logistics/returned-orders (Dashboard de Retornados)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Retorna a lista completa de pedidos que retornaram para alimentaÃ§Ã£o em tempo real do painel de logÃ­stica na Torre de Controle: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Resposta de Sucesso (HTTP 200): </w:t>
      </w:r>
      <w:r>
        <w:rPr>
          <w:rFonts w:ascii="Calibri" w:hAnsi="Calibri" w:eastAsia="Calibri"/>
          <w:b w:val="0"/>
          <w:color w:val="333333"/>
          <w:sz w:val="22"/>
        </w:rPr>
        <w:t xml:space="preserve">Array de objetos contendo id do retorno, order_id, numero do pedido, cliente_nome, endereco_completo, bairro, motivo, observacoes, motorista_nome e timestamp da ocorrÃªncia.</w:t>
      </w:r>
    </w:p>
    <w:p>
      <w:pPr>
        <w:spacing w:before="160" w:after="80"/>
      </w:pPr>
      <w:r>
        <w:rPr>
          <w:rFonts w:ascii="Calibri" w:hAnsi="Calibri" w:eastAsia="Calibri"/>
          <w:b/>
          <w:color w:val="0B3D91"/>
          <w:sz w:val="24"/>
        </w:rPr>
        <w:t>3.3 POST /api/logistics/proof (Comprovante de Entrega ConcluÃ­da)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Upload multipart/form-data submetendo imagem da assinatura e fotografia da mercadoria entregue/canhoto assinado, arquivando os arquivos no volume persistente.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Endpoints de Compras e Doca de Recebimento (Inbound)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GET/POST /api/suppliers: </w:t>
      </w:r>
      <w:r>
        <w:rPr>
          <w:rFonts w:ascii="Calibri" w:hAnsi="Calibri" w:eastAsia="Calibri"/>
          <w:b w:val="0"/>
          <w:color w:val="333333"/>
          <w:sz w:val="22"/>
        </w:rPr>
        <w:t xml:space="preserve">Gerenciamento completo de fornecedores homologados.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GET/POST /api/purchases: </w:t>
      </w:r>
      <w:r>
        <w:rPr>
          <w:rFonts w:ascii="Calibri" w:hAnsi="Calibri" w:eastAsia="Calibri"/>
          <w:b w:val="0"/>
          <w:color w:val="333333"/>
          <w:sz w:val="22"/>
        </w:rPr>
        <w:t xml:space="preserve">EmissÃ£o de pedidos de compra para reposiÃ§Ã£o de estoque com acompanhamento de prazos.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POST /api/inbound/receive: </w:t>
      </w:r>
      <w:r>
        <w:rPr>
          <w:rFonts w:ascii="Calibri" w:hAnsi="Calibri" w:eastAsia="Calibri"/>
          <w:b w:val="0"/>
          <w:color w:val="333333"/>
          <w:sz w:val="22"/>
        </w:rPr>
        <w:t xml:space="preserve">ConferÃªncia fÃ­sica na doca e confirmaÃ§Ã£o de entrada de itens no estoque central.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Streaming de Eventos em Tempo Real (SSE)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GET /api/events/ticket: </w:t>
      </w:r>
      <w:r>
        <w:rPr>
          <w:rFonts w:ascii="Calibri" w:hAnsi="Calibri" w:eastAsia="Calibri"/>
          <w:b w:val="0"/>
          <w:color w:val="333333"/>
          <w:sz w:val="22"/>
        </w:rPr>
        <w:t xml:space="preserve">Retorna { ticket: 'hash_temporario' } com validade de 30 segundos.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GET /api/events?ticket=hash: </w:t>
      </w:r>
      <w:r>
        <w:rPr>
          <w:rFonts w:ascii="Calibri" w:hAnsi="Calibri" w:eastAsia="Calibri"/>
          <w:b w:val="0"/>
          <w:color w:val="333333"/>
          <w:sz w:val="22"/>
        </w:rPr>
        <w:t xml:space="preserve">Abre o canal contÃ­nuo de eventos text/event-stream com envio de eventos assÃ­ncronos (ORDER_CREATED, STOCK_UPDATED, LOGISTICS_UPDATE, RETURNED_ORDER_LOGGED) e heartbeats periÃ³dicos.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Catálogo de API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