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33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omia_logo_h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/>
          <w:color w:val="061A4F"/>
          <w:sz w:val="28"/>
        </w:rPr>
        <w:t>AUTONOMIA SYSTEMS</w:t>
      </w:r>
    </w:p>
    <w:p>
      <w:pPr>
        <w:jc w:val="center"/>
      </w:pPr>
      <w:r>
        <w:rPr>
          <w:rFonts w:ascii="Calibri" w:hAnsi="Calibri" w:eastAsia="Calibri"/>
          <w:b/>
          <w:color w:val="061A4F"/>
          <w:sz w:val="44"/>
        </w:rPr>
        <w:t>RelatÃ³rio de ValidaÃ§Ã£o de Fluxos</w:t>
      </w:r>
    </w:p>
    <w:p>
      <w:pPr>
        <w:jc w:val="center"/>
      </w:pPr>
      <w:r>
        <w:rPr>
          <w:rFonts w:ascii="Calibri" w:hAnsi="Calibri" w:eastAsia="Calibri"/>
          <w:b w:val="0"/>
          <w:color w:val="555555"/>
          <w:sz w:val="24"/>
        </w:rPr>
        <w:t>EvidÃªncias de qualidade, testes automatizados e homologaÃ§Ã£o da release</w:t>
      </w:r>
    </w:p>
    <w:p>
      <w:pPr>
        <w:jc w:val="center"/>
      </w:pPr>
      <w:r>
        <w:rPr>
          <w:rFonts w:ascii="Calibri" w:hAnsi="Calibri" w:eastAsia="Calibri"/>
          <w:b/>
          <w:color w:val="0B3D91"/>
          <w:sz w:val="22"/>
        </w:rPr>
        <w:t>VersÃ£o 2.2.1  Â·  Outubro de 2026</w:t>
      </w:r>
    </w:p>
    <w:p>
      <w:pPr>
        <w:jc w:val="center"/>
      </w:pPr>
      <w:r>
        <w:rPr>
          <w:rFonts w:ascii="Calibri" w:hAnsi="Calibri" w:eastAsia="Calibri"/>
          <w:b w:val="0"/>
          <w:color w:val="555555"/>
          <w:sz w:val="20"/>
        </w:rPr>
        <w:t>Documento oficial de entrega de software</w:t>
      </w:r>
    </w:p>
    <w:p>
      <w:r>
        <w:br w:type="page"/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1. SumÃ¡rio Executivo de HomologaÃ§Ã£o da Release 2.2.1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Este relatÃ³rio tÃ©cnico consolida os resultados e as evidÃªncias objetivas de qualidade da Release 2.2.1 do ERP AutonomIA, atestando que todas as funcionalidades operacionais, transacionais, logÃ­sticas e de governanÃ§a foram exaustivamente testadas e aprovadas com 100% de sucesso.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Os ensaios comprovaram a integridade dos dados, a estabilidade de concorrÃªncia e a conformidade dos novos mecanismos de reversÃ£o logÃ­stica, contato com clientes via WhatsApp, doca de recebimento e sincronizaÃ§Ã£o em tempo real (zero reload).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2. Ambiente e Metodologia de Testes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A validaÃ§Ã£o foi realizada sob ambiente controlado de esteira automatizada (CI/CD) com as seguintes caracterÃ­sticas: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Runtime: </w:t>
      </w:r>
      <w:r>
        <w:rPr>
          <w:rFonts w:ascii="Calibri" w:hAnsi="Calibri" w:eastAsia="Calibri"/>
          <w:b w:val="0"/>
          <w:color w:val="333333"/>
          <w:sz w:val="22"/>
        </w:rPr>
        <w:t xml:space="preserve">Node.js 22.5.0 LTS em ambiente Windows e Linux x86_64.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Isolamento de PersistÃªncia: </w:t>
      </w:r>
      <w:r>
        <w:rPr>
          <w:rFonts w:ascii="Calibri" w:hAnsi="Calibri" w:eastAsia="Calibri"/>
          <w:b w:val="0"/>
          <w:color w:val="333333"/>
          <w:sz w:val="22"/>
        </w:rPr>
        <w:t xml:space="preserve">InstÃ¢ncias isoladas de SQLite em modo WAL com STORAGE_DIR temporÃ¡rio limpo a cada suÃ­te.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EmulaÃ§Ã£o de Clientes: </w:t>
      </w:r>
      <w:r>
        <w:rPr>
          <w:rFonts w:ascii="Calibri" w:hAnsi="Calibri" w:eastAsia="Calibri"/>
          <w:b w:val="0"/>
          <w:color w:val="333333"/>
          <w:sz w:val="22"/>
        </w:rPr>
        <w:t xml:space="preserve">RequisiÃ§Ãµes HTTP simultÃ¢neas disparadas por agentes de teste validando concorrÃªncia de estoque e canais SSE abertos em paralelo.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3. Detalhamento das 17 SuÃ­tes de Testes Automatizados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O ecossistema conta com 17 suÃ­tes completas de testes de integraÃ§Ã£o, totalizando 73 testes executados via 'npm run test:api':</w:t>
      </w:r>
    </w:p>
    <w:tbl xmlns:w="http://schemas.openxmlformats.org/wordprocessingml/2006/main"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0"/>
        <w:gridCol w:w="900"/>
        <w:gridCol w:w="4472"/>
        <w:gridCol w:w="1400"/>
      </w:tblGrid>
      <w:tr>
        <w:tc>
          <w:tcPr>
            <w:tcW w:type="dxa" w:w="32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SuÃ­te de Teste</w:t>
            </w:r>
          </w:p>
        </w:tc>
        <w:tc>
          <w:tcPr>
            <w:tcW w:type="dxa" w:w="9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Casos</w:t>
            </w:r>
          </w:p>
        </w:tc>
        <w:tc>
          <w:tcPr>
            <w:tcW w:type="dxa" w:w="4472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Escopo e VerificaÃ§Ãµes Chave</w:t>
            </w:r>
          </w:p>
        </w:tc>
        <w:tc>
          <w:tcPr>
            <w:tcW w:type="dxa" w:w="14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32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auth.test.js</w:t>
            </w:r>
          </w:p>
        </w:tc>
        <w:tc>
          <w:tcPr>
            <w:tcW w:type="dxa" w:w="9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5</w:t>
            </w:r>
          </w:p>
        </w:tc>
        <w:tc>
          <w:tcPr>
            <w:tcW w:type="dxa" w:w="44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EmissÃ£o de JWT, validaÃ§Ã£o de hash bcrypt, expiraÃ§Ã£o de sessÃ£o e bloqueio.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Aprovado 100%</w:t>
            </w:r>
          </w:p>
        </w:tc>
      </w:tr>
      <w:tr>
        <w:tc>
          <w:tcPr>
            <w:tcW w:type="dxa" w:w="32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permissions.test.js</w:t>
            </w:r>
          </w:p>
        </w:tc>
        <w:tc>
          <w:tcPr>
            <w:tcW w:type="dxa" w:w="9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4</w:t>
            </w:r>
          </w:p>
        </w:tc>
        <w:tc>
          <w:tcPr>
            <w:tcW w:type="dxa" w:w="44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SegregaÃ§Ã£o de funÃ§Ãµes (SoD), barramento 403 para acessos nÃ£o autorizados.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Aprovado 100%</w:t>
            </w:r>
          </w:p>
        </w:tc>
      </w:tr>
      <w:tr>
        <w:tc>
          <w:tcPr>
            <w:tcW w:type="dxa" w:w="32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products.test.js</w:t>
            </w:r>
          </w:p>
        </w:tc>
        <w:tc>
          <w:tcPr>
            <w:tcW w:type="dxa" w:w="9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4</w:t>
            </w:r>
          </w:p>
        </w:tc>
        <w:tc>
          <w:tcPr>
            <w:tcW w:type="dxa" w:w="44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CRUD de produtos, consistÃªncia de SKUs, leitura de cÃ³digo EAN-13 e fotos.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Aprovado 100%</w:t>
            </w:r>
          </w:p>
        </w:tc>
      </w:tr>
      <w:tr>
        <w:tc>
          <w:tcPr>
            <w:tcW w:type="dxa" w:w="32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price_tables.test.js</w:t>
            </w:r>
          </w:p>
        </w:tc>
        <w:tc>
          <w:tcPr>
            <w:tcW w:type="dxa" w:w="9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4</w:t>
            </w:r>
          </w:p>
        </w:tc>
        <w:tc>
          <w:tcPr>
            <w:tcW w:type="dxa" w:w="44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ResoluÃ§Ã£o hierÃ¡rquica de preÃ§o: Cliente &gt; Tabela Canal &gt; CatÃ¡logo Base.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Aprovado 100%</w:t>
            </w:r>
          </w:p>
        </w:tc>
      </w:tr>
      <w:tr>
        <w:tc>
          <w:tcPr>
            <w:tcW w:type="dxa" w:w="32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stock.test.js</w:t>
            </w:r>
          </w:p>
        </w:tc>
        <w:tc>
          <w:tcPr>
            <w:tcW w:type="dxa" w:w="9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5</w:t>
            </w:r>
          </w:p>
        </w:tc>
        <w:tc>
          <w:tcPr>
            <w:tcW w:type="dxa" w:w="44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Ajustes de inventÃ¡rio, reserva atÃ´mica de saldo e conferÃªncia de razÃ£o.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Aprovado 100%</w:t>
            </w:r>
          </w:p>
        </w:tc>
      </w:tr>
      <w:tr>
        <w:tc>
          <w:tcPr>
            <w:tcW w:type="dxa" w:w="32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orders_lifecycle.test.js</w:t>
            </w:r>
          </w:p>
        </w:tc>
        <w:tc>
          <w:tcPr>
            <w:tcW w:type="dxa" w:w="9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5</w:t>
            </w:r>
          </w:p>
        </w:tc>
        <w:tc>
          <w:tcPr>
            <w:tcW w:type="dxa" w:w="44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Estados PENDENTE -&gt; SEPARACAO -&gt; ROTA -&gt; CONCLUIDO sem perda de saldo.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Aprovado 100%</w:t>
            </w:r>
          </w:p>
        </w:tc>
      </w:tr>
      <w:tr>
        <w:tc>
          <w:tcPr>
            <w:tcW w:type="dxa" w:w="32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pdv.test.js</w:t>
            </w:r>
          </w:p>
        </w:tc>
        <w:tc>
          <w:tcPr>
            <w:tcW w:type="dxa" w:w="9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4</w:t>
            </w:r>
          </w:p>
        </w:tc>
        <w:tc>
          <w:tcPr>
            <w:tcW w:type="dxa" w:w="44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Venda balcÃ£o rÃ¡pida, leitor de cÃ³digo de barras, mÃºltiplos pagamentos e cupom.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Aprovado 100%</w:t>
            </w:r>
          </w:p>
        </w:tc>
      </w:tr>
      <w:tr>
        <w:tc>
          <w:tcPr>
            <w:tcW w:type="dxa" w:w="32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store.test.js</w:t>
            </w:r>
          </w:p>
        </w:tc>
        <w:tc>
          <w:tcPr>
            <w:tcW w:type="dxa" w:w="9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4</w:t>
            </w:r>
          </w:p>
        </w:tc>
        <w:tc>
          <w:tcPr>
            <w:tcW w:type="dxa" w:w="44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CatÃ¡logo da Loja Online, carrinho de compras e taxa de frete por bairro.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Aprovado 100%</w:t>
            </w:r>
          </w:p>
        </w:tc>
      </w:tr>
      <w:tr>
        <w:tc>
          <w:tcPr>
            <w:tcW w:type="dxa" w:w="32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seller_crm.test.js</w:t>
            </w:r>
          </w:p>
        </w:tc>
        <w:tc>
          <w:tcPr>
            <w:tcW w:type="dxa" w:w="9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4</w:t>
            </w:r>
          </w:p>
        </w:tc>
        <w:tc>
          <w:tcPr>
            <w:tcW w:type="dxa" w:w="44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Carteira externa de vendas, emissÃ£o de pedidos e cÃ¡lculo de score RFM.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Aprovado 100%</w:t>
            </w:r>
          </w:p>
        </w:tc>
      </w:tr>
      <w:tr>
        <w:tc>
          <w:tcPr>
            <w:tcW w:type="dxa" w:w="32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logistics_routes.test.js</w:t>
            </w:r>
          </w:p>
        </w:tc>
        <w:tc>
          <w:tcPr>
            <w:tcW w:type="dxa" w:w="9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4</w:t>
            </w:r>
          </w:p>
        </w:tc>
        <w:tc>
          <w:tcPr>
            <w:tcW w:type="dxa" w:w="44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Agrupamento de pedidos por bairros, cubagem e emissÃ£o de romaneios.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Aprovado 100%</w:t>
            </w:r>
          </w:p>
        </w:tc>
      </w:tr>
      <w:tr>
        <w:tc>
          <w:tcPr>
            <w:tcW w:type="dxa" w:w="32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logistics_extended.test.js</w:t>
            </w:r>
          </w:p>
        </w:tc>
        <w:tc>
          <w:tcPr>
            <w:tcW w:type="dxa" w:w="9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6</w:t>
            </w:r>
          </w:p>
        </w:tc>
        <w:tc>
          <w:tcPr>
            <w:tcW w:type="dxa" w:w="44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Insucesso na entrega (/fail), reversÃ£o a SEPARACAO e recÃ¡lculo de rota.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Aprovado 100%</w:t>
            </w:r>
          </w:p>
        </w:tc>
      </w:tr>
      <w:tr>
        <w:tc>
          <w:tcPr>
            <w:tcW w:type="dxa" w:w="32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logistics_returned_dashboard.test.js</w:t>
            </w:r>
          </w:p>
        </w:tc>
        <w:tc>
          <w:tcPr>
            <w:tcW w:type="dxa" w:w="9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3</w:t>
            </w:r>
          </w:p>
        </w:tc>
        <w:tc>
          <w:tcPr>
            <w:tcW w:type="dxa" w:w="44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Listagem e atualizaÃ§Ã£o do dashboard de pedidos retornados na Torre.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Aprovado 100%</w:t>
            </w:r>
          </w:p>
        </w:tc>
      </w:tr>
      <w:tr>
        <w:tc>
          <w:tcPr>
            <w:tcW w:type="dxa" w:w="32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logistics_proof.test.js</w:t>
            </w:r>
          </w:p>
        </w:tc>
        <w:tc>
          <w:tcPr>
            <w:tcW w:type="dxa" w:w="9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3</w:t>
            </w:r>
          </w:p>
        </w:tc>
        <w:tc>
          <w:tcPr>
            <w:tcW w:type="dxa" w:w="44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Upload de comprovantes, integridade de assinaturas digitais e fotos.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Aprovado 100%</w:t>
            </w:r>
          </w:p>
        </w:tc>
      </w:tr>
      <w:tr>
        <w:tc>
          <w:tcPr>
            <w:tcW w:type="dxa" w:w="32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suppliers_inbound.test.js</w:t>
            </w:r>
          </w:p>
        </w:tc>
        <w:tc>
          <w:tcPr>
            <w:tcW w:type="dxa" w:w="9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5</w:t>
            </w:r>
          </w:p>
        </w:tc>
        <w:tc>
          <w:tcPr>
            <w:tcW w:type="dxa" w:w="44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Fornecedores, ordens de compra e conferÃªncia na doca de recebimento.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Aprovado 100%</w:t>
            </w:r>
          </w:p>
        </w:tc>
      </w:tr>
      <w:tr>
        <w:tc>
          <w:tcPr>
            <w:tcW w:type="dxa" w:w="32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realtime.test.js</w:t>
            </w:r>
          </w:p>
        </w:tc>
        <w:tc>
          <w:tcPr>
            <w:tcW w:type="dxa" w:w="9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5</w:t>
            </w:r>
          </w:p>
        </w:tc>
        <w:tc>
          <w:tcPr>
            <w:tcW w:type="dxa" w:w="44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Tickets de autenticaÃ§Ã£o SSE, streaming de eventos e reatividade zero F5.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Aprovado 100%</w:t>
            </w:r>
          </w:p>
        </w:tc>
      </w:tr>
      <w:tr>
        <w:tc>
          <w:tcPr>
            <w:tcW w:type="dxa" w:w="32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identity.test.js</w:t>
            </w:r>
          </w:p>
        </w:tc>
        <w:tc>
          <w:tcPr>
            <w:tcW w:type="dxa" w:w="9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3</w:t>
            </w:r>
          </w:p>
        </w:tc>
        <w:tc>
          <w:tcPr>
            <w:tcW w:type="dxa" w:w="44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Upload de capas, logotipo e aplicaÃ§Ã£o dinÃ¢mica de variÃ¡veis CSS.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Aprovado 100%</w:t>
            </w:r>
          </w:p>
        </w:tc>
      </w:tr>
      <w:tr>
        <w:tc>
          <w:tcPr>
            <w:tcW w:type="dxa" w:w="32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backup_restore.test.js</w:t>
            </w:r>
          </w:p>
        </w:tc>
        <w:tc>
          <w:tcPr>
            <w:tcW w:type="dxa" w:w="9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5</w:t>
            </w:r>
          </w:p>
        </w:tc>
        <w:tc>
          <w:tcPr>
            <w:tcW w:type="dxa" w:w="44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PRAGMA wal_checkpoint, snapshot consistente e manifesto SHA-256.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Aprovado 100%</w:t>
            </w:r>
          </w:p>
        </w:tc>
      </w:tr>
    </w:tbl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4. ValidaÃ§Ã£o dos Fluxos Funcionais de Ponta a Ponta (E2E)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Foram validados com sucesso absoluto os quatro fluxos nucleares da empresa: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Fluxo A - Venda Omnichannel e SeparaÃ§Ã£o: </w:t>
      </w:r>
      <w:r>
        <w:rPr>
          <w:rFonts w:ascii="Calibri" w:hAnsi="Calibri" w:eastAsia="Calibri"/>
          <w:b w:val="0"/>
          <w:color w:val="333333"/>
          <w:sz w:val="22"/>
        </w:rPr>
        <w:t xml:space="preserve">Pedidos originados tanto pela Loja Online quanto pelo App do Vendedor reservaram estoque instantaneamente e foram consolidados na fila de separaÃ§Ã£o da Torre de Controle sem qualquer colisÃ£o.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Fluxo B - Despacho, Contato e Entrega ConcluÃ­da: </w:t>
      </w:r>
      <w:r>
        <w:rPr>
          <w:rFonts w:ascii="Calibri" w:hAnsi="Calibri" w:eastAsia="Calibri"/>
          <w:b w:val="0"/>
          <w:color w:val="333333"/>
          <w:sz w:val="22"/>
        </w:rPr>
        <w:t xml:space="preserve">Pedidos despachados em rota geraram paradas ordenadas no app do motorista. O acionamento do botÃ£o WhatsApp disparou a mensagem correta ao cliente e a conclusÃ£o registrou foto e assinatura com baixa final de estoque.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Fluxo C - Insucesso de Entrega e Rollback Operacional: </w:t>
      </w:r>
      <w:r>
        <w:rPr>
          <w:rFonts w:ascii="Calibri" w:hAnsi="Calibri" w:eastAsia="Calibri"/>
          <w:b w:val="0"/>
          <w:color w:val="333333"/>
          <w:sz w:val="22"/>
        </w:rPr>
        <w:t xml:space="preserve">A simulaÃ§Ã£o de insucesso de parada com o motivo 'Cliente nÃ£o se encontra' reverteu o pedido automaticamente para 'SEPARACAO', liberou o item da rota, restaurou os indicadores de carga e exibiu o registro no painel 'Pedidos que Retornaram' da Torre no mesmo instante.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Fluxo D - Compras Inbound e Reatividade em Tempo Real: </w:t>
      </w:r>
      <w:r>
        <w:rPr>
          <w:rFonts w:ascii="Calibri" w:hAnsi="Calibri" w:eastAsia="Calibri"/>
          <w:b w:val="0"/>
          <w:color w:val="333333"/>
          <w:sz w:val="22"/>
        </w:rPr>
        <w:t xml:space="preserve">O recebimento de mercadorias de fornecedores na doca de conferÃªncia alimentou o saldo de estoque e refletiu no catÃ¡logo da Loja Online e no App do Vendedor sem necessidade de recarregar a pÃ¡gina.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5. ConclusÃ£o e Parecer de HomologaÃ§Ã£o TÃ©cnica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Diante da aprovaÃ§Ã£o unÃ¢nime de todas as 17 suÃ­tes de testes automatizados (73 testes aprovados sem falhas) e da perfeita execuÃ§Ã£o dos fluxos ponta a ponta, a Release 2.2.1 do ERP AutonomIA Ã© formalmente HOMOLOGADA e recomendada para entrada imediata em operaÃ§Ã£o assistida e go-live no Xiquim Vargas.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color w:val="555555"/>
        <w:sz w:val="16"/>
      </w:rPr>
      <w:t>AutonomIA Systems  ·  Sistemas Inteligentes  ·  Documento oficial de entrega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2" w:space="4" w:color="0B3D91"/>
      </w:pBdr>
    </w:pPr>
    <w:r>
      <w:drawing>
        <wp:inline xmlns:a="http://schemas.openxmlformats.org/drawingml/2006/main" xmlns:pic="http://schemas.openxmlformats.org/drawingml/2006/picture">
          <wp:extent cx="576000" cy="86130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utonomia_logo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861308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Calibri" w:hAnsi="Calibri" w:eastAsia="Calibri"/>
        <w:b/>
        <w:color w:val="061A4F"/>
        <w:sz w:val="22"/>
      </w:rPr>
      <w:t xml:space="preserve">  AutonomIA Systems</w:t>
    </w:r>
    <w:r>
      <w:rPr>
        <w:rFonts w:ascii="Calibri" w:hAnsi="Calibri" w:eastAsia="Calibri"/>
        <w:b w:val="0"/>
        <w:color w:val="555555"/>
        <w:sz w:val="18"/>
      </w:rPr>
      <w:t xml:space="preserve">  ·  Relatório de Validação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