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33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omia_logo_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/>
          <w:color w:val="061A4F"/>
          <w:sz w:val="28"/>
        </w:rPr>
        <w:t>AUTONOMIA SYSTEMS</w:t>
      </w:r>
    </w:p>
    <w:p>
      <w:pPr>
        <w:jc w:val="center"/>
      </w:pPr>
      <w:r>
        <w:rPr>
          <w:rFonts w:ascii="Calibri" w:hAnsi="Calibri" w:eastAsia="Calibri"/>
          <w:b/>
          <w:color w:val="061A4F"/>
          <w:sz w:val="44"/>
        </w:rPr>
        <w:t>Plano de TransiÃ§Ã£o e Aceite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4"/>
        </w:rPr>
        <w:t>Roteiro de transiÃ§Ã£o, operaÃ§Ã£o assistida, transferÃªncia de custÃ³dia e aceite formal</w:t>
      </w:r>
    </w:p>
    <w:p>
      <w:pPr>
        <w:jc w:val="center"/>
      </w:pPr>
      <w:r>
        <w:rPr>
          <w:rFonts w:ascii="Calibri" w:hAnsi="Calibri" w:eastAsia="Calibri"/>
          <w:b/>
          <w:color w:val="0B3D91"/>
          <w:sz w:val="22"/>
        </w:rPr>
        <w:t>VersÃ£o 2.2.1  Â·  Outubro de 2026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0"/>
        </w:rPr>
        <w:t>Documento oficial de entrega de software</w:t>
      </w:r>
    </w:p>
    <w:p>
      <w:r>
        <w:br w:type="page"/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1. Objetivo e Escopo da TransiÃ§Ã£o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 presente documento estabelece as diretrizes estratÃ©gicas, tÃ©cnicas e operacionais para a transferÃªncia formal do ERP AutonomIA Release 2.2.1 para o ambiente produtivo do Xiquim Vargas.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 objetivo deste plano Ã© estruturar a transiÃ§Ã£o de modo a assegurar continuidade ininterrupta das vendas no balcÃ£o e no campo, capacitaÃ§Ã£o prÃ¡tica de todos os operadores e validaÃ§Ã£o formal de todos os critÃ©rios de aceitaÃ§Ã£o contratual.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2. Cronograma das Fases de TransiÃ§Ã£o (Go-Live)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 execuÃ§Ã£o da transiÃ§Ã£o Ã© dividida em 5 fases sequenciais com marcos bem definidos: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Fase 1 - Provisionamento e Infraestrutura: </w:t>
      </w:r>
      <w:r>
        <w:rPr>
          <w:rFonts w:ascii="Calibri" w:hAnsi="Calibri" w:eastAsia="Calibri"/>
          <w:b w:val="0"/>
          <w:color w:val="333333"/>
          <w:sz w:val="22"/>
        </w:rPr>
        <w:t xml:space="preserve">ConfiguraÃ§Ã£o do Web Service no Render PaaS, vinculaÃ§Ã£o do volume de disco persistente em /var/data, ativaÃ§Ã£o de certificados SSL e parametrizaÃ§Ã£o das variÃ¡veis de ambiente de produÃ§Ã£o.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Fase 2 - ParametrizaÃ§Ã£o Comercial e Carga de Dados: </w:t>
      </w:r>
      <w:r>
        <w:rPr>
          <w:rFonts w:ascii="Calibri" w:hAnsi="Calibri" w:eastAsia="Calibri"/>
          <w:b w:val="0"/>
          <w:color w:val="333333"/>
          <w:sz w:val="22"/>
        </w:rPr>
        <w:t xml:space="preserve">ImportaÃ§Ã£o do catÃ¡logo de produtos, cadastro de fornecedores, definiÃ§Ã£o de tabelas de preÃ§o por canal, vinculaÃ§Ã£o de tabelas de clientes e aplicaÃ§Ã£o da Identidade Empresarial (logotipos, capas e cores).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Fase 3 - CapacitaÃ§Ã£o e Treinamento das Equipes: </w:t>
      </w:r>
      <w:r>
        <w:rPr>
          <w:rFonts w:ascii="Calibri" w:hAnsi="Calibri" w:eastAsia="Calibri"/>
          <w:b w:val="0"/>
          <w:color w:val="333333"/>
          <w:sz w:val="22"/>
        </w:rPr>
        <w:t xml:space="preserve">Treinamento hands-on para operadores da Torre de Controle, conferentes de expediÃ§Ã£o, operadores de caixa no PDV, vendedores externos (app mobile) e motoristas (app de entrega com WhatsApp e retornos).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Fase 4 - OperaÃ§Ã£o Assistida (Go-Live): </w:t>
      </w:r>
      <w:r>
        <w:rPr>
          <w:rFonts w:ascii="Calibri" w:hAnsi="Calibri" w:eastAsia="Calibri"/>
          <w:b w:val="0"/>
          <w:color w:val="333333"/>
          <w:sz w:val="22"/>
        </w:rPr>
        <w:t xml:space="preserve">InÃ­cio da operaÃ§Ã£o oficial com acompanhamento tÃ©cnico presencial/remoto durante os primeiros turnos de trabalho, monitorando logs de SSE, integridade de estoque e conciliaÃ§Ãµes de caixa.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Fase 5 - HomologaÃ§Ã£o Final e TransferÃªncia de CustÃ³dia: </w:t>
      </w:r>
      <w:r>
        <w:rPr>
          <w:rFonts w:ascii="Calibri" w:hAnsi="Calibri" w:eastAsia="Calibri"/>
          <w:b w:val="0"/>
          <w:color w:val="333333"/>
          <w:sz w:val="22"/>
        </w:rPr>
        <w:t xml:space="preserve">Auditoria dos primeiros fechamentos de turno, validaÃ§Ã£o da rotina diÃ¡ria de backup e assinatura formal do termo de aceite definitivo.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3. CritÃ©rios Formais de Aceite TÃ©cnico e Operacional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 conclusÃ£o do projeto estÃ¡ condicionada ao atendimento satisfatÃ³rio dos seguintes critÃ©rios objetivos:</w:t>
      </w:r>
    </w:p>
    <w:tbl xmlns:w="http://schemas.openxmlformats.org/wordprocessingml/2006/main"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0"/>
        <w:gridCol w:w="3972"/>
        <w:gridCol w:w="3000"/>
      </w:tblGrid>
      <w:tr>
        <w:tc>
          <w:tcPr>
            <w:tcW w:type="dxa" w:w="30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CritÃ©rio de Aceite</w:t>
            </w:r>
          </w:p>
        </w:tc>
        <w:tc>
          <w:tcPr>
            <w:tcW w:type="dxa" w:w="3972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Indicador de Conformidade</w:t>
            </w:r>
          </w:p>
        </w:tc>
        <w:tc>
          <w:tcPr>
            <w:tcW w:type="dxa" w:w="30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EvidÃªncia TÃ©cnica Validada</w:t>
            </w:r>
          </w:p>
        </w:tc>
      </w:tr>
      <w:tr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Disponibilidade do ServiÃ§o</w:t>
            </w:r>
          </w:p>
        </w:tc>
        <w:tc>
          <w:tcPr>
            <w:tcW w:type="dxa" w:w="3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Sonda /ready ativa com tempo de resposta &lt; 200ms.</w:t>
            </w:r>
          </w:p>
        </w:tc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VerificaÃ§Ã£o contÃ­nua de healthcheck sem quedas.</w:t>
            </w:r>
          </w:p>
        </w:tc>
      </w:tr>
      <w:tr>
        <w:tc>
          <w:tcPr>
            <w:tcW w:type="dxa" w:w="3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SincronizaÃ§Ã£o em Tempo Real</w:t>
            </w:r>
          </w:p>
        </w:tc>
        <w:tc>
          <w:tcPr>
            <w:tcW w:type="dxa" w:w="39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AtualizaÃ§Ã£o instantÃ¢nea sem recarregar a tela (zero reload).</w:t>
            </w:r>
          </w:p>
        </w:tc>
        <w:tc>
          <w:tcPr>
            <w:tcW w:type="dxa" w:w="3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Novos pedidos e retornos refletem em SSE imediatamente.</w:t>
            </w:r>
          </w:p>
        </w:tc>
      </w:tr>
      <w:tr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Integridade de Estoque</w:t>
            </w:r>
          </w:p>
        </w:tc>
        <w:tc>
          <w:tcPr>
            <w:tcW w:type="dxa" w:w="3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Reserva atÃ´mica de saldo e baixa correta no faturamento.</w:t>
            </w:r>
          </w:p>
        </w:tc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Zero divergÃªncia fÃ­sica e conciliaÃ§Ã£o perfeita do razÃ£o.</w:t>
            </w:r>
          </w:p>
        </w:tc>
      </w:tr>
      <w:tr>
        <w:tc>
          <w:tcPr>
            <w:tcW w:type="dxa" w:w="3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OperaÃ§Ã£o MÃ³vel do Motorista</w:t>
            </w:r>
          </w:p>
        </w:tc>
        <w:tc>
          <w:tcPr>
            <w:tcW w:type="dxa" w:w="39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ComunicaÃ§Ã£o WhatsApp/telefone e registro de paradas.</w:t>
            </w:r>
          </w:p>
        </w:tc>
        <w:tc>
          <w:tcPr>
            <w:tcW w:type="dxa" w:w="3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BotÃµes de contato funcionais e comprovantes arquivados.</w:t>
            </w:r>
          </w:p>
        </w:tc>
      </w:tr>
      <w:tr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Mecanismo de Insucesso LogÃ­stico</w:t>
            </w:r>
          </w:p>
        </w:tc>
        <w:tc>
          <w:tcPr>
            <w:tcW w:type="dxa" w:w="3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ReversÃ£o automÃ¡tica de pedidos para SEPARACAO ao marcar falha.</w:t>
            </w:r>
          </w:p>
        </w:tc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Rollback atÃ´mico e alerta no Painel de Retornados da Torre.</w:t>
            </w:r>
          </w:p>
        </w:tc>
      </w:tr>
      <w:tr>
        <w:tc>
          <w:tcPr>
            <w:tcW w:type="dxa" w:w="3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Doca de Recebimento (Inbound)</w:t>
            </w:r>
          </w:p>
        </w:tc>
        <w:tc>
          <w:tcPr>
            <w:tcW w:type="dxa" w:w="39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ConferÃªncia de compras e entrada imediata no estoque.</w:t>
            </w:r>
          </w:p>
        </w:tc>
        <w:tc>
          <w:tcPr>
            <w:tcW w:type="dxa" w:w="3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AlimentaÃ§Ã£o automÃ¡tica do estoque fÃ­sico e comercial.</w:t>
            </w:r>
          </w:p>
        </w:tc>
      </w:tr>
      <w:tr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Rotina de Backup e RecuperaÃ§Ã£o</w:t>
            </w:r>
          </w:p>
        </w:tc>
        <w:tc>
          <w:tcPr>
            <w:tcW w:type="dxa" w:w="3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Snapshot consistente com WAL checkpoint e hash SHA-256.</w:t>
            </w:r>
          </w:p>
        </w:tc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GeraÃ§Ã£o do pacote de backup e teste de integridade aprovado.</w:t>
            </w:r>
          </w:p>
        </w:tc>
      </w:tr>
    </w:tbl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4. GovernanÃ§a de Suporte e Escalonamento PÃ³s Go-Live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Para a fase de sustentaÃ§Ã£o continuada, fica estabelecida a seguinte estrutura de suporte: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NÃ­vel 1 (Suporte Operacional Interno): </w:t>
      </w:r>
      <w:r>
        <w:rPr>
          <w:rFonts w:ascii="Calibri" w:hAnsi="Calibri" w:eastAsia="Calibri"/>
          <w:b w:val="0"/>
          <w:color w:val="333333"/>
          <w:sz w:val="22"/>
        </w:rPr>
        <w:t xml:space="preserve">Esclarecimento de dÃºvidas de operaÃ§Ã£o diÃ¡ria, resets de senhas de colaboradores e conferÃªncia de romaneios pelos encarregados locais.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NÃ­vel 2 (Suporte TÃ©cnico da AplicaÃ§Ã£o): </w:t>
      </w:r>
      <w:r>
        <w:rPr>
          <w:rFonts w:ascii="Calibri" w:hAnsi="Calibri" w:eastAsia="Calibri"/>
          <w:b w:val="0"/>
          <w:color w:val="333333"/>
          <w:sz w:val="22"/>
        </w:rPr>
        <w:t xml:space="preserve">Atendimento a incidentes operacionais de mÃ©dia criticidade, com tempo de primeira resposta inferior a 2 horas Ãºteis.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NÃ­vel 3 (Engenharia de Software AutonomIA): </w:t>
      </w:r>
      <w:r>
        <w:rPr>
          <w:rFonts w:ascii="Calibri" w:hAnsi="Calibri" w:eastAsia="Calibri"/>
          <w:b w:val="0"/>
          <w:color w:val="333333"/>
          <w:sz w:val="22"/>
        </w:rPr>
        <w:t xml:space="preserve">IntervenÃ§Ãµes arquiteturais de alta complexidade e correÃ§Ãµes emergenciais com SLA de atendimento de atÃ© 4 horas para incidentes de severidade crÃ­tica.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5. Termo de Aceite Formal e HomologaÃ§Ã£o Definitiva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Por meio deste instrumento, as partes declaram que a Release 2.2.1 do ERP AutonomIA foi devidamente entregue, instalada, testada e homologada em estrita conformidade com as especificaÃ§Ãµes tÃ©cnicas, operacionais e de negÃ³cio contratadas.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 cliente atesta o recebimento da documentaÃ§Ã£o integral do sistema (pasta xiquimvargasmanuais), bem como a aptidÃ£o da plataforma para operar em regime pleno de produÃ§Ã£o.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Local e Data: ____________________________________, _____ de _______________ de 2026.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Pelo Cliente (Xiquim Vargas):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Nome do Representante: __________________________________________________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Cargo / FunÃ§Ã£o: _________________________________________________________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CPF / Documento: _______________________________________________________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Assinatura: _____________________________________________________________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Pela AutonomIA Systems (Sistemas Inteligentes):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Nome do ResponsÃ¡vel: ____________________________________________________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Cargo: Engenheiro Chefe de SoluÃ§Ãµes e Arquitetura Empresarial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Assinatura: _____________________________________________________________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55555"/>
        <w:sz w:val="16"/>
      </w:rPr>
      <w:t>AutonomIA Systems  ·  Sistemas Inteligentes  ·  Documento oficial de entrega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2" w:space="4" w:color="0B3D91"/>
      </w:pBdr>
    </w:pPr>
    <w:r>
      <w:drawing>
        <wp:inline xmlns:a="http://schemas.openxmlformats.org/drawingml/2006/main" xmlns:pic="http://schemas.openxmlformats.org/drawingml/2006/picture">
          <wp:extent cx="576000" cy="86130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utonomia_logo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861308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 w:eastAsia="Calibri"/>
        <w:b/>
        <w:color w:val="061A4F"/>
        <w:sz w:val="22"/>
      </w:rPr>
      <w:t xml:space="preserve">  AutonomIA Systems</w:t>
    </w:r>
    <w:r>
      <w:rPr>
        <w:rFonts w:ascii="Calibri" w:hAnsi="Calibri" w:eastAsia="Calibri"/>
        <w:b w:val="0"/>
        <w:color w:val="555555"/>
        <w:sz w:val="18"/>
      </w:rPr>
      <w:t xml:space="preserve">  ·  Transição e Aceite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