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Raio-X de Engenharia Completo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MÃ³dulos, 32 tabelas, 106+ rotas REST, mÃ¡quinas de estado e transaÃ§Ãµes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arquitetura e engenharia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VisÃ£o Geral da Arquitetura e MÃ³dulos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ERP AutonomIA opera como um monÃ³lito modular de alta densidade em Node.js 22+ (ESM) com persistÃªncia relacional SQLite em modo WAL (Write-Ahead Logging), combinando aplicaÃ§Ãµes web Vanilla SPA e aplicativos mÃ³veis nativos em Kotlin (Android) com sincronizaÃ§Ã£o bidirecional via outbox pattern.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server.js: </w:t>
      </w:r>
      <w:r>
        <w:rPr>
          <w:rFonts w:ascii="Calibri" w:hAnsi="Calibri" w:eastAsia="Calibri"/>
          <w:b w:val="0"/>
          <w:color w:val="333333"/>
          <w:sz w:val="22"/>
        </w:rPr>
        <w:t xml:space="preserve">Ponto central de roteamento REST nativo, pool de conexÃµes persistentes SSE e controle de taxa de requisiÃ§Ãµes (rate limiting).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src/db.js: </w:t>
      </w:r>
      <w:r>
        <w:rPr>
          <w:rFonts w:ascii="Calibri" w:hAnsi="Calibri" w:eastAsia="Calibri"/>
          <w:b w:val="0"/>
          <w:color w:val="333333"/>
          <w:sz w:val="22"/>
        </w:rPr>
        <w:t xml:space="preserve">Gerenciamento do SQLite com isolamento ACID estrito, foreign keys ativas e migraÃ§Ãµes idempotentes automÃ¡ticas.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src/routing.js: </w:t>
      </w:r>
      <w:r>
        <w:rPr>
          <w:rFonts w:ascii="Calibri" w:hAnsi="Calibri" w:eastAsia="Calibri"/>
          <w:b w:val="0"/>
          <w:color w:val="333333"/>
          <w:sz w:val="22"/>
        </w:rPr>
        <w:t xml:space="preserve">Motor de roteamento logÃ­stico com resoluÃ§Ã£o em 3 camadas: OpenStreetMap OSRM Trip API, Google Maps Routes e fallback euclidiano.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src/ai.js: </w:t>
      </w:r>
      <w:r>
        <w:rPr>
          <w:rFonts w:ascii="Calibri" w:hAnsi="Calibri" w:eastAsia="Calibri"/>
          <w:b w:val="0"/>
          <w:color w:val="333333"/>
          <w:sz w:val="22"/>
        </w:rPr>
        <w:t xml:space="preserve">Assistente com IA Groq sobre conexÃ£o SQLite estritamente somente-leitura (SQLITE_OPEN_READONLY), bloqueio lÃ©xico e redaÃ§Ã£o de credenciais.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src/pdf.js: </w:t>
      </w:r>
      <w:r>
        <w:rPr>
          <w:rFonts w:ascii="Calibri" w:hAnsi="Calibri" w:eastAsia="Calibri"/>
          <w:b w:val="0"/>
          <w:color w:val="333333"/>
          <w:sz w:val="22"/>
        </w:rPr>
        <w:t xml:space="preserve">Motor vetorial de emissÃ£o de relatÃ³rios de estoque, pedidos e romaneios de separaÃ§Ã£o e carga.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src/auth.js &amp; security.js: </w:t>
      </w:r>
      <w:r>
        <w:rPr>
          <w:rFonts w:ascii="Calibri" w:hAnsi="Calibri" w:eastAsia="Calibri"/>
          <w:b w:val="0"/>
          <w:color w:val="333333"/>
          <w:sz w:val="22"/>
        </w:rPr>
        <w:t xml:space="preserve">AutenticaÃ§Ã£o JWT HMAC-SHA256, hash bcrypt de senhas, revalidaÃ§Ã£o de perfil a cada chamada e sanitizaÃ§Ã£o XSS.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DicionÃ¡rio de Dados Transacional (32 Tabelas)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esquema do SQLite Ã© composto por 32 tabelas relacionais organizadas nos seguintes domÃ­nios de negÃ³cio: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0"/>
        <w:gridCol w:w="3972"/>
        <w:gridCol w:w="3500"/>
      </w:tblGrid>
      <w:tr>
        <w:tc>
          <w:tcPr>
            <w:tcW w:type="dxa" w:w="25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DomÃ­nio de NegÃ³cio</w:t>
            </w:r>
          </w:p>
        </w:tc>
        <w:tc>
          <w:tcPr>
            <w:tcW w:type="dxa" w:w="39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Tabelas Integrantes</w:t>
            </w:r>
          </w:p>
        </w:tc>
        <w:tc>
          <w:tcPr>
            <w:tcW w:type="dxa" w:w="35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FunÃ§Ã£o PrimÃ¡ria de Engenharia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SeguranÃ§a e UsuÃ¡rios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usuarios, audit_logs, configuracoes, idempotency_keys</w:t>
            </w:r>
          </w:p>
        </w:tc>
        <w:tc>
          <w:tcPr>
            <w:tcW w:type="dxa" w:w="3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AutenticaÃ§Ã£o, controle de papÃ©is, trilha SHA-256 e idempotÃªncia.</w:t>
            </w:r>
          </w:p>
        </w:tc>
      </w:tr>
      <w:tr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CatÃ¡logo de Produtos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categorias, subcategorias, produtos, produto_imagens, promocoes</w:t>
            </w:r>
          </w:p>
        </w:tc>
        <w:tc>
          <w:tcPr>
            <w:tcW w:type="dxa" w:w="3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Mix comercial, fotos, cÃ³digos EAN-13, SKUs e campanhas promocionais.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GestÃ£o Comercial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tabelas_preco, tabela_preco_itens, clientes, usuario_clientes, cliente_interacoes</w:t>
            </w:r>
          </w:p>
        </w:tc>
        <w:tc>
          <w:tcPr>
            <w:tcW w:type="dxa" w:w="3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Tabelas por canal/cliente, carteira de vendedores e CRM RFM.</w:t>
            </w:r>
          </w:p>
        </w:tc>
      </w:tr>
      <w:tr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Estoque e Movimento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estoque, movimentacoes_estoque</w:t>
            </w:r>
          </w:p>
        </w:tc>
        <w:tc>
          <w:tcPr>
            <w:tcW w:type="dxa" w:w="3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BalanÃ§o fÃ­sico/reservado/disponÃ­vel e razÃ£o analÃ­tico com justificativas.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Vendas e Pedidos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pedidos, pedido_itens</w:t>
            </w:r>
          </w:p>
        </w:tc>
        <w:tc>
          <w:tcPr>
            <w:tcW w:type="dxa" w:w="3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CabeÃ§alho e itens de venda com reserva atÃ´mica e congelamento de preÃ§o.</w:t>
            </w:r>
          </w:p>
        </w:tc>
      </w:tr>
      <w:tr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ExpediÃ§Ã£o e LogÃ­stica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rotas_logistica, rota_pedidos, comprovantes_entrega, pedido_retornos, rotas_config, rota_bairros, vendedor_rotas, system_events</w:t>
            </w:r>
          </w:p>
        </w:tc>
        <w:tc>
          <w:tcPr>
            <w:tcW w:type="dxa" w:w="3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RoteirizaÃ§Ã£o por bairro, comprovaÃ§Ã£o digital e rollback de entregas falhas.</w:t>
            </w:r>
          </w:p>
        </w:tc>
      </w:tr>
      <w:tr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Compras e Inbound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fornecedores, fornecedor_produtos, compras, compra_itens</w:t>
            </w:r>
          </w:p>
        </w:tc>
        <w:tc>
          <w:tcPr>
            <w:tcW w:type="dxa" w:w="3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GestÃ£o de suprimentos, ordens de compra e conferÃªncia na doca.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MÃ¡quinas de Estados e Garantias Transacionais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3.1 MÃ¡quina de Estados do Pedido (pedidos.status)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â€¢ PENDENTE: Origens WEB e VENDEDOR. O servidor reserva o estoque atÃ´mico de imediato (quantidade_reservada += Qty, quantidade_disponivel -= Qty).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SEPARACAO: </w:t>
      </w:r>
      <w:r>
        <w:rPr>
          <w:rFonts w:ascii="Calibri" w:hAnsi="Calibri" w:eastAsia="Calibri"/>
          <w:b w:val="0"/>
          <w:color w:val="333333"/>
          <w:sz w:val="22"/>
        </w:rPr>
        <w:t xml:space="preserve">Operador avanÃ§a o pedido para separaÃ§Ã£o fÃ­sica no depÃ³sito.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ROTA: </w:t>
      </w:r>
      <w:r>
        <w:rPr>
          <w:rFonts w:ascii="Calibri" w:hAnsi="Calibri" w:eastAsia="Calibri"/>
          <w:b w:val="0"/>
          <w:color w:val="333333"/>
          <w:sz w:val="22"/>
        </w:rPr>
        <w:t xml:space="preserve">Pedido vinculado a uma rota de entrega e despachado no veÃ­culo.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CONCLUIDO: </w:t>
      </w:r>
      <w:r>
        <w:rPr>
          <w:rFonts w:ascii="Calibri" w:hAnsi="Calibri" w:eastAsia="Calibri"/>
          <w:b w:val="0"/>
          <w:color w:val="333333"/>
          <w:sz w:val="22"/>
        </w:rPr>
        <w:t xml:space="preserve">PDV BalcÃ£o direto ou entrega confirmada no app do motorista com upload de comprovante e baixa definitiva da reserva.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CANCELADO: </w:t>
      </w:r>
      <w:r>
        <w:rPr>
          <w:rFonts w:ascii="Calibri" w:hAnsi="Calibri" w:eastAsia="Calibri"/>
          <w:b w:val="0"/>
          <w:color w:val="333333"/>
          <w:sz w:val="22"/>
        </w:rPr>
        <w:t xml:space="preserve">Cancelamento operacional com estorno automÃ¡tico da reserva para o saldo disponÃ­vel.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REVERSÃƒO DE RETORNO (ROTA -&gt; SEPARACAO): </w:t>
      </w:r>
      <w:r>
        <w:rPr>
          <w:rFonts w:ascii="Calibri" w:hAnsi="Calibri" w:eastAsia="Calibri"/>
          <w:b w:val="0"/>
          <w:color w:val="333333"/>
          <w:sz w:val="22"/>
        </w:rPr>
        <w:t xml:space="preserve">Ao acionar POST /api/logistics/orders/:oid/fail, o servidor desassocia o pedido da rota, decrementa contadores de carga, grava na tabela pedido_retornos e reverte o status para SEPARACAO, deixando-o imediatamente livre para nova rota.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CatÃ¡logo das 106+ Rotas REST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Mapeamento das 11 famÃ­lias de rotas ativas no servidor: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Infraestrutura e Tempo Real: </w:t>
      </w:r>
      <w:r>
        <w:rPr>
          <w:rFonts w:ascii="Calibri" w:hAnsi="Calibri" w:eastAsia="Calibri"/>
          <w:b w:val="0"/>
          <w:color w:val="333333"/>
          <w:sz w:val="22"/>
        </w:rPr>
        <w:t xml:space="preserve">/health, /ready, /api/events/ticket, /api/events (SSE stream com heartbeat de 25s e BroadcastChannel local).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AdministraÃ§Ã£o e Auditoria: </w:t>
      </w:r>
      <w:r>
        <w:rPr>
          <w:rFonts w:ascii="Calibri" w:hAnsi="Calibri" w:eastAsia="Calibri"/>
          <w:b w:val="0"/>
          <w:color w:val="333333"/>
          <w:sz w:val="22"/>
        </w:rPr>
        <w:t xml:space="preserve">/api/setup/*, /api/auth/login, /api/me, /api/users/*, /api/audit, /api/admin/metrics, /api/admin/reconcile, /api/admin/ia/*.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CatÃ¡logo e Tabelas de PreÃ§o: </w:t>
      </w:r>
      <w:r>
        <w:rPr>
          <w:rFonts w:ascii="Calibri" w:hAnsi="Calibri" w:eastAsia="Calibri"/>
          <w:b w:val="0"/>
          <w:color w:val="333333"/>
          <w:sz w:val="22"/>
        </w:rPr>
        <w:t xml:space="preserve">/api/categories/*, /api/products/*, /api/promotions/*, /api/price-tables/*.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Estoque e CRM: </w:t>
      </w:r>
      <w:r>
        <w:rPr>
          <w:rFonts w:ascii="Calibri" w:hAnsi="Calibri" w:eastAsia="Calibri"/>
          <w:b w:val="0"/>
          <w:color w:val="333333"/>
          <w:sz w:val="22"/>
        </w:rPr>
        <w:t xml:space="preserve">/api/stock, /api/stock/adjust, /api/clients/*, /api/crm/dashboard (matriz RFM).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Canais de Venda e Pedidos: </w:t>
      </w:r>
      <w:r>
        <w:rPr>
          <w:rFonts w:ascii="Calibri" w:hAnsi="Calibri" w:eastAsia="Calibri"/>
          <w:b w:val="0"/>
          <w:color w:val="333333"/>
          <w:sz w:val="22"/>
        </w:rPr>
        <w:t xml:space="preserve">/api/pdv/*, /api/store/*, /api/seller/*, /api/orders/*.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LogÃ­stica e Retornos: </w:t>
      </w:r>
      <w:r>
        <w:rPr>
          <w:rFonts w:ascii="Calibri" w:hAnsi="Calibri" w:eastAsia="Calibri"/>
          <w:b w:val="0"/>
          <w:color w:val="333333"/>
          <w:sz w:val="22"/>
        </w:rPr>
        <w:t xml:space="preserve">/api/logistics/routes, /api/logistics/grouped-orders, /api/logistics/orders/:oid/fail, /api/logistics/returned-orders.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Fornecedores e Inbound: </w:t>
      </w:r>
      <w:r>
        <w:rPr>
          <w:rFonts w:ascii="Calibri" w:hAnsi="Calibri" w:eastAsia="Calibri"/>
          <w:b w:val="0"/>
          <w:color w:val="333333"/>
          <w:sz w:val="22"/>
        </w:rPr>
        <w:t xml:space="preserve">/api/suppliers/*, /api/purchases/*, /api/purchases/:id/receive (doca).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Manual de Operações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