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38A" w:rsidRPr="0003438A" w:rsidRDefault="0003438A" w:rsidP="0003438A">
      <w:pPr>
        <w:spacing w:line="480" w:lineRule="auto"/>
        <w:jc w:val="center"/>
        <w:rPr>
          <w:rFonts w:ascii="Times New Roman" w:hAnsi="Times New Roman" w:cs="Times New Roman"/>
        </w:rPr>
      </w:pPr>
      <w:bookmarkStart w:id="0" w:name="_GoBack"/>
      <w:bookmarkEnd w:id="0"/>
      <w:r w:rsidRPr="0003438A">
        <w:rPr>
          <w:rFonts w:ascii="Times New Roman" w:hAnsi="Times New Roman" w:cs="Times New Roman"/>
        </w:rPr>
        <w:t>The Pharos Project: Solving the Building Materials Toxicity Challenge</w:t>
      </w:r>
    </w:p>
    <w:p w:rsidR="0003438A" w:rsidRPr="0003438A" w:rsidRDefault="0003438A" w:rsidP="0003438A">
      <w:pPr>
        <w:spacing w:line="480" w:lineRule="auto"/>
        <w:rPr>
          <w:rFonts w:ascii="Times New Roman" w:hAnsi="Times New Roman" w:cs="Times New Roman"/>
        </w:rPr>
      </w:pPr>
    </w:p>
    <w:p w:rsidR="0003438A" w:rsidRPr="00677627" w:rsidRDefault="0003438A" w:rsidP="00677627">
      <w:pPr>
        <w:spacing w:line="240" w:lineRule="auto"/>
        <w:jc w:val="center"/>
        <w:rPr>
          <w:rFonts w:ascii="Times New Roman" w:hAnsi="Times New Roman" w:cs="Times New Roman"/>
        </w:rPr>
      </w:pPr>
      <w:r w:rsidRPr="00677627">
        <w:rPr>
          <w:rFonts w:ascii="Times New Roman" w:hAnsi="Times New Roman" w:cs="Times New Roman"/>
        </w:rPr>
        <w:t>Abstract</w:t>
      </w:r>
    </w:p>
    <w:p w:rsidR="0003438A" w:rsidRPr="0003438A" w:rsidRDefault="0003438A" w:rsidP="0003438A">
      <w:pPr>
        <w:spacing w:line="240" w:lineRule="auto"/>
        <w:ind w:firstLine="720"/>
        <w:rPr>
          <w:rFonts w:ascii="Times New Roman" w:hAnsi="Times New Roman" w:cs="Times New Roman"/>
        </w:rPr>
      </w:pPr>
    </w:p>
    <w:p w:rsidR="0003438A" w:rsidRPr="0003438A" w:rsidRDefault="0003438A" w:rsidP="0003438A">
      <w:pPr>
        <w:ind w:firstLine="720"/>
        <w:rPr>
          <w:rFonts w:ascii="Times New Roman" w:hAnsi="Times New Roman" w:cs="Times New Roman"/>
          <w:sz w:val="24"/>
          <w:szCs w:val="24"/>
        </w:rPr>
      </w:pPr>
      <w:r w:rsidRPr="0003438A">
        <w:rPr>
          <w:rFonts w:ascii="Times New Roman" w:hAnsi="Times New Roman" w:cs="Times New Roman"/>
          <w:sz w:val="24"/>
          <w:szCs w:val="24"/>
        </w:rPr>
        <w:t>The founder, Bill Walsh, with a background in law and a passion to protect the natural environment, has built a nonprofit venture that has pioneered the awareness of toxicity issues in the building indust</w:t>
      </w:r>
      <w:r>
        <w:rPr>
          <w:rFonts w:ascii="Times New Roman" w:hAnsi="Times New Roman" w:cs="Times New Roman"/>
          <w:sz w:val="24"/>
          <w:szCs w:val="24"/>
        </w:rPr>
        <w:t>ry.  He finds himself at a cross</w:t>
      </w:r>
      <w:r w:rsidRPr="0003438A">
        <w:rPr>
          <w:rFonts w:ascii="Times New Roman" w:hAnsi="Times New Roman" w:cs="Times New Roman"/>
          <w:sz w:val="24"/>
          <w:szCs w:val="24"/>
        </w:rPr>
        <w:t>roads because he needs an infusion of c</w:t>
      </w:r>
      <w:r>
        <w:rPr>
          <w:rFonts w:ascii="Times New Roman" w:hAnsi="Times New Roman" w:cs="Times New Roman"/>
          <w:sz w:val="24"/>
          <w:szCs w:val="24"/>
        </w:rPr>
        <w:t>ash to bring to market the data</w:t>
      </w:r>
      <w:r w:rsidRPr="0003438A">
        <w:rPr>
          <w:rFonts w:ascii="Times New Roman" w:hAnsi="Times New Roman" w:cs="Times New Roman"/>
          <w:sz w:val="24"/>
          <w:szCs w:val="24"/>
        </w:rPr>
        <w:t xml:space="preserve">base on </w:t>
      </w:r>
      <w:r>
        <w:rPr>
          <w:rFonts w:ascii="Times New Roman" w:hAnsi="Times New Roman" w:cs="Times New Roman"/>
          <w:sz w:val="24"/>
          <w:szCs w:val="24"/>
        </w:rPr>
        <w:t xml:space="preserve">building </w:t>
      </w:r>
      <w:r w:rsidRPr="0003438A">
        <w:rPr>
          <w:rFonts w:ascii="Times New Roman" w:hAnsi="Times New Roman" w:cs="Times New Roman"/>
          <w:sz w:val="24"/>
          <w:szCs w:val="24"/>
        </w:rPr>
        <w:t xml:space="preserve">product toxicity he has developed.  The options include whether to </w:t>
      </w:r>
      <w:r>
        <w:rPr>
          <w:rFonts w:ascii="Times New Roman" w:hAnsi="Times New Roman" w:cs="Times New Roman"/>
          <w:sz w:val="24"/>
          <w:szCs w:val="24"/>
        </w:rPr>
        <w:t xml:space="preserve">radically change the way he manages his nonprofit in order to grow </w:t>
      </w:r>
      <w:r w:rsidRPr="0003438A">
        <w:rPr>
          <w:rFonts w:ascii="Times New Roman" w:hAnsi="Times New Roman" w:cs="Times New Roman"/>
          <w:sz w:val="24"/>
          <w:szCs w:val="24"/>
        </w:rPr>
        <w:t xml:space="preserve">or </w:t>
      </w:r>
      <w:r>
        <w:rPr>
          <w:rFonts w:ascii="Times New Roman" w:hAnsi="Times New Roman" w:cs="Times New Roman"/>
          <w:sz w:val="24"/>
          <w:szCs w:val="24"/>
        </w:rPr>
        <w:t xml:space="preserve">to </w:t>
      </w:r>
      <w:r w:rsidRPr="0003438A">
        <w:rPr>
          <w:rFonts w:ascii="Times New Roman" w:hAnsi="Times New Roman" w:cs="Times New Roman"/>
          <w:sz w:val="24"/>
          <w:szCs w:val="24"/>
        </w:rPr>
        <w:t>change the company status to a Benefit Corporation</w:t>
      </w:r>
      <w:r w:rsidR="00D047D8">
        <w:rPr>
          <w:rFonts w:ascii="Times New Roman" w:hAnsi="Times New Roman" w:cs="Times New Roman"/>
          <w:sz w:val="24"/>
          <w:szCs w:val="24"/>
        </w:rPr>
        <w:t>.</w:t>
      </w:r>
      <w:r w:rsidR="00677627">
        <w:rPr>
          <w:rFonts w:ascii="Times New Roman" w:hAnsi="Times New Roman" w:cs="Times New Roman"/>
          <w:sz w:val="24"/>
          <w:szCs w:val="24"/>
        </w:rPr>
        <w:t xml:space="preserve"> </w:t>
      </w:r>
      <w:r w:rsidRPr="0003438A">
        <w:rPr>
          <w:rFonts w:ascii="Times New Roman" w:hAnsi="Times New Roman" w:cs="Times New Roman"/>
          <w:sz w:val="24"/>
          <w:szCs w:val="24"/>
        </w:rPr>
        <w:t xml:space="preserve"> </w:t>
      </w:r>
      <w:r>
        <w:rPr>
          <w:rFonts w:ascii="Times New Roman" w:hAnsi="Times New Roman" w:cs="Times New Roman"/>
          <w:sz w:val="24"/>
          <w:szCs w:val="24"/>
        </w:rPr>
        <w:t>Bill is unsure whether he is the right person to implement either alternative.</w:t>
      </w:r>
      <w:r w:rsidRPr="0003438A">
        <w:rPr>
          <w:rFonts w:ascii="Times New Roman" w:hAnsi="Times New Roman" w:cs="Times New Roman"/>
          <w:sz w:val="24"/>
          <w:szCs w:val="24"/>
        </w:rPr>
        <w:t xml:space="preserve"> </w:t>
      </w:r>
    </w:p>
    <w:p w:rsidR="0003438A" w:rsidRPr="0003438A" w:rsidRDefault="0003438A" w:rsidP="0003438A">
      <w:pPr>
        <w:spacing w:after="200"/>
      </w:pPr>
      <w:r w:rsidRPr="0003438A">
        <w:br w:type="page"/>
      </w:r>
    </w:p>
    <w:p w:rsidR="00EC3080" w:rsidRDefault="00E9361B" w:rsidP="0003438A">
      <w:pPr>
        <w:spacing w:line="480" w:lineRule="auto"/>
        <w:ind w:firstLine="720"/>
      </w:pPr>
      <w:r>
        <w:lastRenderedPageBreak/>
        <w:t>“We’ve spent the</w:t>
      </w:r>
      <w:r w:rsidR="005C2BB3">
        <w:t xml:space="preserve"> last four years building </w:t>
      </w:r>
      <w:r>
        <w:t>the most</w:t>
      </w:r>
      <w:r w:rsidR="005C2BB3">
        <w:t xml:space="preserve"> comprehensive database </w:t>
      </w:r>
      <w:r w:rsidR="00EC3080">
        <w:t xml:space="preserve">on the toxicity </w:t>
      </w:r>
      <w:r w:rsidR="005C2BB3">
        <w:t>of building materials</w:t>
      </w:r>
      <w:r>
        <w:t xml:space="preserve"> out there, but now we have to get it </w:t>
      </w:r>
      <w:r w:rsidR="00F76FD6">
        <w:t>into architects’ hands</w:t>
      </w:r>
      <w:r>
        <w:t>.  I need to build the organization to make it happen.”  Bill Walsh was founder of the nonprofit Healthy Building Network (</w:t>
      </w:r>
      <w:proofErr w:type="spellStart"/>
      <w:r>
        <w:t>HBN</w:t>
      </w:r>
      <w:proofErr w:type="spellEnd"/>
      <w:r>
        <w:t>), whose main project had been the d</w:t>
      </w:r>
      <w:r w:rsidR="00A905F8">
        <w:t>evelopment of the toxicity data</w:t>
      </w:r>
      <w:r>
        <w:t xml:space="preserve">base. </w:t>
      </w:r>
      <w:r w:rsidR="005C2BB3">
        <w:t xml:space="preserve"> He was now trying to decide which of two approaches might have more significant impact on getting toxic materials out of buildings.  One approach was to </w:t>
      </w:r>
      <w:r w:rsidR="004D0B9B">
        <w:t>begin</w:t>
      </w:r>
      <w:r w:rsidR="005C2BB3">
        <w:t xml:space="preserve"> to grow his nonprofit or</w:t>
      </w:r>
      <w:r w:rsidR="00EC3080">
        <w:t>ganization</w:t>
      </w:r>
      <w:r w:rsidR="005C2BB3">
        <w:t>.  The other approach was to form a Benefit Corporation or B-Corp.  In July 2010, B-Corps were a new concept whereby for</w:t>
      </w:r>
      <w:r w:rsidR="00B83490">
        <w:t>-</w:t>
      </w:r>
      <w:r w:rsidR="005C2BB3">
        <w:t>profit organizations could raise money but still focus on their social mission</w:t>
      </w:r>
      <w:r w:rsidR="00105675">
        <w:t>s</w:t>
      </w:r>
      <w:r w:rsidR="005C2BB3">
        <w:t xml:space="preserve"> rather than </w:t>
      </w:r>
      <w:r w:rsidR="00F76FD6">
        <w:t xml:space="preserve">just </w:t>
      </w:r>
      <w:r w:rsidR="005C2BB3">
        <w:t xml:space="preserve">focusing on maximizing returns to shareholders.  </w:t>
      </w:r>
      <w:r w:rsidR="00EC3080">
        <w:t>Bill was intrigued by the B-Corp concept and wanted to find out more about it.  He knew that raising money from investors would give him more resources in order to scale his business faster, but he also knew he would have to build the business.  He was conflicted as he observed:</w:t>
      </w:r>
    </w:p>
    <w:p w:rsidR="00FB4752" w:rsidRDefault="00EC3080" w:rsidP="00EC3080">
      <w:pPr>
        <w:spacing w:line="480" w:lineRule="auto"/>
        <w:ind w:left="720"/>
      </w:pPr>
      <w:r>
        <w:t>I have never built or run a</w:t>
      </w:r>
      <w:r w:rsidR="0062593C">
        <w:t xml:space="preserve"> </w:t>
      </w:r>
      <w:r w:rsidR="00F041EB">
        <w:t>real</w:t>
      </w:r>
      <w:r>
        <w:t xml:space="preserve"> organization.  The way I have run my nonprofit is a</w:t>
      </w:r>
      <w:r w:rsidR="0062593C">
        <w:t>s a</w:t>
      </w:r>
      <w:r>
        <w:t xml:space="preserve"> virtual micro business.  We have a few employees who telecommute from all over the country and it has worked well.  But if I take the money, I have to build the business and I am not sure I am the one to do it.</w:t>
      </w:r>
    </w:p>
    <w:p w:rsidR="00872252" w:rsidRDefault="00872252" w:rsidP="0001454E">
      <w:pPr>
        <w:rPr>
          <w:u w:val="single"/>
        </w:rPr>
      </w:pPr>
    </w:p>
    <w:p w:rsidR="0001454E" w:rsidRPr="00677627" w:rsidRDefault="00B83490" w:rsidP="00677627">
      <w:pPr>
        <w:jc w:val="center"/>
      </w:pPr>
      <w:r w:rsidRPr="00677627">
        <w:t>Bill’s</w:t>
      </w:r>
      <w:r w:rsidR="0001454E" w:rsidRPr="00677627">
        <w:t xml:space="preserve"> Career in Toxicity</w:t>
      </w:r>
    </w:p>
    <w:p w:rsidR="00E83EC8" w:rsidRPr="0001454E" w:rsidRDefault="00E83EC8" w:rsidP="0001454E">
      <w:pPr>
        <w:rPr>
          <w:u w:val="single"/>
        </w:rPr>
      </w:pPr>
    </w:p>
    <w:p w:rsidR="0001454E" w:rsidRPr="0001454E" w:rsidRDefault="0001454E" w:rsidP="0001454E">
      <w:pPr>
        <w:spacing w:line="480" w:lineRule="auto"/>
        <w:ind w:firstLine="720"/>
      </w:pPr>
      <w:r w:rsidRPr="0001454E">
        <w:t xml:space="preserve">Bill’s thinking on how to manage health and toxicity issues in the building industry had developed as a result of the experiences he had over 15 years with US PIRG (Public Interest Research Group) and Greenpeace.  Bill graduated from Northeastern University Law School in Boston in 1985, where he discovered he preferred policy rather than individual representation.  He became interested in toxicity issues as a result of representing a woman who had become sick after a </w:t>
      </w:r>
      <w:proofErr w:type="spellStart"/>
      <w:r w:rsidRPr="0001454E">
        <w:t>Chem</w:t>
      </w:r>
      <w:proofErr w:type="spellEnd"/>
      <w:r w:rsidRPr="0001454E">
        <w:t xml:space="preserve">-Lawn spraying of her yard.  Through that case he was networked into US PIRG and the superfund reauthorization.  He </w:t>
      </w:r>
      <w:r w:rsidRPr="0001454E">
        <w:lastRenderedPageBreak/>
        <w:t xml:space="preserve">became knowledgeable about the </w:t>
      </w:r>
      <w:r w:rsidR="000E07C4">
        <w:t>Environmental Protection Agency’s (</w:t>
      </w:r>
      <w:r w:rsidRPr="0001454E">
        <w:t>EPA</w:t>
      </w:r>
      <w:r w:rsidR="000E07C4">
        <w:t>)</w:t>
      </w:r>
      <w:r w:rsidRPr="0001454E">
        <w:t xml:space="preserve"> federal right to know what chemicals were being used in various applications.  This led to him, in 1987, accepting a position working for Greenpeace in </w:t>
      </w:r>
      <w:r w:rsidR="00F041EB">
        <w:t>its</w:t>
      </w:r>
      <w:r w:rsidRPr="0001454E">
        <w:t xml:space="preserve"> toxicity legislation department.  He decided not to pursue the legislative route, however, because he saw too many other organizations already doing that.  Instead, he managed grass root campaigns and </w:t>
      </w:r>
      <w:r w:rsidR="00A905F8">
        <w:t>shifted</w:t>
      </w:r>
      <w:r w:rsidRPr="0001454E">
        <w:t xml:space="preserve"> from attempting to stop the disposal of hazardous wastes to pioneering </w:t>
      </w:r>
      <w:r w:rsidR="00C251DD">
        <w:t>preventing</w:t>
      </w:r>
      <w:r w:rsidR="00C251DD" w:rsidRPr="0001454E">
        <w:t xml:space="preserve"> </w:t>
      </w:r>
      <w:r w:rsidRPr="0001454E">
        <w:t xml:space="preserve">their entry into the system.  His first project was to advocate stopping the use of chlorine and polyvinyl chloride plastic (PVC).  In his second project, he found himself </w:t>
      </w:r>
      <w:r w:rsidR="00F041EB">
        <w:t>opposing</w:t>
      </w:r>
      <w:r w:rsidR="00872252">
        <w:t xml:space="preserve"> DuPont on ozone-</w:t>
      </w:r>
      <w:r w:rsidRPr="0001454E">
        <w:t>depleting gasses used in refrigerants.  It was during this experience that Bill had a</w:t>
      </w:r>
      <w:r w:rsidR="004D0B9B">
        <w:t>n</w:t>
      </w:r>
      <w:r w:rsidRPr="0001454E">
        <w:t xml:space="preserve"> insight</w:t>
      </w:r>
      <w:r w:rsidR="004D0B9B">
        <w:t xml:space="preserve"> that changed his strategic thinking</w:t>
      </w:r>
      <w:r w:rsidRPr="0001454E">
        <w:t xml:space="preserve">:  </w:t>
      </w:r>
    </w:p>
    <w:p w:rsidR="0001454E" w:rsidRPr="0001454E" w:rsidRDefault="0001454E" w:rsidP="0001454E">
      <w:pPr>
        <w:spacing w:line="480" w:lineRule="auto"/>
        <w:ind w:left="720"/>
      </w:pPr>
      <w:r w:rsidRPr="0001454E">
        <w:t xml:space="preserve">In attacking DuPont, Greenpeace never accomplished anything because DuPont controlled the discussion – they had the chemists and the replacement technology.  DuPont, therefore, could manage the transition between the harmful coolants and the deemed safe ones in a way that maximized DuPont’s profits.  </w:t>
      </w:r>
    </w:p>
    <w:p w:rsidR="0001454E" w:rsidRPr="0001454E" w:rsidRDefault="0001454E" w:rsidP="0001454E">
      <w:pPr>
        <w:spacing w:line="480" w:lineRule="auto"/>
        <w:ind w:firstLine="720"/>
      </w:pPr>
    </w:p>
    <w:p w:rsidR="0001454E" w:rsidRPr="0001454E" w:rsidRDefault="003A4AB1" w:rsidP="0001454E">
      <w:pPr>
        <w:spacing w:line="480" w:lineRule="auto"/>
        <w:ind w:firstLine="720"/>
      </w:pPr>
      <w:r>
        <w:t>Therefore i</w:t>
      </w:r>
      <w:r w:rsidR="0001454E" w:rsidRPr="0001454E">
        <w:t xml:space="preserve">n his third project for Greenpeace, which was stopping the use of lumber from endangered trees, he decided to change tactics - he went after the main retailer rather than the lumber companies.  </w:t>
      </w:r>
      <w:r w:rsidR="00F041EB">
        <w:t>He went after Home Depot.  The “Home Depot experience”</w:t>
      </w:r>
      <w:r>
        <w:t xml:space="preserve"> triggered additional </w:t>
      </w:r>
      <w:r w:rsidR="0001454E" w:rsidRPr="0001454E">
        <w:t>change</w:t>
      </w:r>
      <w:r>
        <w:t>s</w:t>
      </w:r>
      <w:r w:rsidR="0001454E" w:rsidRPr="0001454E">
        <w:t xml:space="preserve"> in his thinking:</w:t>
      </w:r>
    </w:p>
    <w:p w:rsidR="0001454E" w:rsidRPr="0001454E" w:rsidRDefault="0001454E" w:rsidP="0001454E">
      <w:pPr>
        <w:spacing w:line="480" w:lineRule="auto"/>
        <w:ind w:left="720"/>
      </w:pPr>
      <w:r w:rsidRPr="0001454E">
        <w:t>Home Depot wanted to do the right thing and had hired some very smart environmental people.  They were asking some very tough questions, such as: If they did not use certain hardwoods, what trees could they use?  If they gave into Greenpeace, what would stop another group from coming in and making conflicting demands?</w:t>
      </w:r>
    </w:p>
    <w:p w:rsidR="0001454E" w:rsidRPr="0001454E" w:rsidRDefault="0001454E" w:rsidP="0001454E">
      <w:pPr>
        <w:spacing w:line="480" w:lineRule="auto"/>
        <w:ind w:firstLine="720"/>
      </w:pPr>
    </w:p>
    <w:p w:rsidR="0001454E" w:rsidRPr="0001454E" w:rsidRDefault="0001454E" w:rsidP="0001454E">
      <w:pPr>
        <w:spacing w:line="480" w:lineRule="auto"/>
        <w:ind w:firstLine="720"/>
      </w:pPr>
      <w:r w:rsidRPr="0001454E">
        <w:lastRenderedPageBreak/>
        <w:t>Bill’s insight</w:t>
      </w:r>
      <w:r w:rsidR="00507350">
        <w:t>s</w:t>
      </w:r>
      <w:r w:rsidRPr="0001454E">
        <w:t xml:space="preserve"> </w:t>
      </w:r>
      <w:r w:rsidR="00A905F8">
        <w:t>led</w:t>
      </w:r>
      <w:r w:rsidRPr="0001454E">
        <w:t xml:space="preserve"> him </w:t>
      </w:r>
      <w:r w:rsidR="00606054">
        <w:t xml:space="preserve">away </w:t>
      </w:r>
      <w:r w:rsidRPr="0001454E">
        <w:t xml:space="preserve">from </w:t>
      </w:r>
      <w:r w:rsidR="00A905F8">
        <w:t xml:space="preserve">simply </w:t>
      </w:r>
      <w:r w:rsidRPr="0001454E">
        <w:t xml:space="preserve">trying to stop </w:t>
      </w:r>
      <w:r w:rsidR="00A905F8">
        <w:t>a company’s behavior</w:t>
      </w:r>
      <w:r w:rsidRPr="0001454E">
        <w:t xml:space="preserve"> </w:t>
      </w:r>
      <w:r w:rsidR="00872252">
        <w:t>and</w:t>
      </w:r>
      <w:r w:rsidR="00A905F8">
        <w:t xml:space="preserve"> </w:t>
      </w:r>
      <w:r w:rsidRPr="0001454E">
        <w:t>to</w:t>
      </w:r>
      <w:r w:rsidR="00872252">
        <w:t>ward</w:t>
      </w:r>
      <w:r w:rsidRPr="0001454E">
        <w:t xml:space="preserve"> help</w:t>
      </w:r>
      <w:r w:rsidR="00A905F8">
        <w:t xml:space="preserve">ing the company </w:t>
      </w:r>
      <w:r w:rsidRPr="0001454E">
        <w:t xml:space="preserve">solve </w:t>
      </w:r>
      <w:r w:rsidR="00A905F8">
        <w:t>a</w:t>
      </w:r>
      <w:r w:rsidRPr="0001454E">
        <w:t xml:space="preserve"> problem. </w:t>
      </w:r>
      <w:r w:rsidR="00F041EB">
        <w:t xml:space="preserve"> </w:t>
      </w:r>
      <w:r w:rsidRPr="0001454E">
        <w:t>Home Depot did, in fact, change its buying behaviors, and Bill recollected, “We saved more forests by working with Home Depot than any piece of legislation could</w:t>
      </w:r>
      <w:r w:rsidR="00DA7EF7">
        <w:t>.</w:t>
      </w:r>
      <w:r w:rsidRPr="0001454E">
        <w:t>”</w:t>
      </w:r>
    </w:p>
    <w:p w:rsidR="0001454E" w:rsidRPr="0001454E" w:rsidRDefault="0001454E" w:rsidP="0001454E">
      <w:pPr>
        <w:spacing w:line="480" w:lineRule="auto"/>
        <w:ind w:firstLine="720"/>
      </w:pPr>
      <w:r w:rsidRPr="0001454E">
        <w:t>The idea to launch his own venture, the Healthy Building Network (</w:t>
      </w:r>
      <w:proofErr w:type="spellStart"/>
      <w:r w:rsidRPr="0001454E">
        <w:t>HBN</w:t>
      </w:r>
      <w:proofErr w:type="spellEnd"/>
      <w:r w:rsidRPr="0001454E">
        <w:t xml:space="preserve">), came when Greenpeace wanted to build an extension to its headquarters.  Consistent with </w:t>
      </w:r>
      <w:r w:rsidR="00B83490">
        <w:t>its</w:t>
      </w:r>
      <w:r w:rsidRPr="0001454E">
        <w:t xml:space="preserve"> mission and position in all matters eco-friendly</w:t>
      </w:r>
      <w:r w:rsidR="00B83490">
        <w:t>,</w:t>
      </w:r>
      <w:r w:rsidRPr="0001454E">
        <w:t xml:space="preserve"> Greenpeace w</w:t>
      </w:r>
      <w:r w:rsidR="00B83490">
        <w:t>as</w:t>
      </w:r>
      <w:r w:rsidRPr="0001454E">
        <w:t xml:space="preserve"> committed to us</w:t>
      </w:r>
      <w:r w:rsidR="00DA7EF7">
        <w:t>ing</w:t>
      </w:r>
      <w:r w:rsidRPr="0001454E">
        <w:t xml:space="preserve"> only safe building materials</w:t>
      </w:r>
      <w:r w:rsidR="00B83490">
        <w:t xml:space="preserve">.  It wanted to </w:t>
      </w:r>
      <w:r w:rsidRPr="0001454E">
        <w:t>use this HQ building extension as a best-case example for the burgeoning envi</w:t>
      </w:r>
      <w:r w:rsidR="00B83490">
        <w:t>ronmentally conscious community</w:t>
      </w:r>
      <w:r w:rsidR="00DA7EF7">
        <w:t>,</w:t>
      </w:r>
      <w:r w:rsidRPr="0001454E">
        <w:t xml:space="preserve"> but, ironically, the decision makers were unable to reach </w:t>
      </w:r>
      <w:r w:rsidR="00DB4DBB">
        <w:t xml:space="preserve">an </w:t>
      </w:r>
      <w:r w:rsidRPr="0001454E">
        <w:t>agreement on what was consi</w:t>
      </w:r>
      <w:r w:rsidR="005F3083">
        <w:t>dered “safe”</w:t>
      </w:r>
      <w:r w:rsidRPr="0001454E">
        <w:t xml:space="preserve">.  Bill observed, “If an organization like Greenpeace could not figure out what were safe materials, then I </w:t>
      </w:r>
      <w:r w:rsidRPr="0001454E">
        <w:rPr>
          <w:i/>
        </w:rPr>
        <w:t>knew</w:t>
      </w:r>
      <w:r w:rsidRPr="0001454E">
        <w:t xml:space="preserve"> there was a problem needing a solution.”</w:t>
      </w:r>
    </w:p>
    <w:p w:rsidR="0001454E" w:rsidRPr="0001454E" w:rsidRDefault="0001454E" w:rsidP="0001454E">
      <w:pPr>
        <w:spacing w:line="480" w:lineRule="auto"/>
        <w:rPr>
          <w:u w:val="single"/>
        </w:rPr>
      </w:pPr>
    </w:p>
    <w:p w:rsidR="0001454E" w:rsidRPr="00677627" w:rsidRDefault="0001454E" w:rsidP="00677627">
      <w:pPr>
        <w:spacing w:line="480" w:lineRule="auto"/>
        <w:jc w:val="center"/>
      </w:pPr>
      <w:r w:rsidRPr="00677627">
        <w:t>The Healthy Building Network</w:t>
      </w:r>
    </w:p>
    <w:p w:rsidR="0001454E" w:rsidRPr="0001454E" w:rsidRDefault="0001454E" w:rsidP="0001454E">
      <w:pPr>
        <w:spacing w:line="480" w:lineRule="auto"/>
        <w:ind w:firstLine="720"/>
      </w:pPr>
      <w:r w:rsidRPr="0001454E">
        <w:t xml:space="preserve">In 2000, Bill decided to </w:t>
      </w:r>
      <w:r w:rsidR="00234F03">
        <w:t>leave Greenpeace</w:t>
      </w:r>
      <w:r w:rsidRPr="0001454E">
        <w:t xml:space="preserve"> so that he could focus his energy on the issue of the healthfulness of building materials.  He formed </w:t>
      </w:r>
      <w:proofErr w:type="spellStart"/>
      <w:r w:rsidRPr="0001454E">
        <w:t>HBN</w:t>
      </w:r>
      <w:proofErr w:type="spellEnd"/>
      <w:r w:rsidRPr="0001454E">
        <w:t xml:space="preserve"> as a no</w:t>
      </w:r>
      <w:r w:rsidR="00E83EC8">
        <w:t>n</w:t>
      </w:r>
      <w:r w:rsidR="000633D9">
        <w:t>profit, 501</w:t>
      </w:r>
      <w:r w:rsidRPr="0001454E">
        <w:t>(c</w:t>
      </w:r>
      <w:proofErr w:type="gramStart"/>
      <w:r w:rsidRPr="0001454E">
        <w:t>)</w:t>
      </w:r>
      <w:r w:rsidR="000633D9">
        <w:t>(</w:t>
      </w:r>
      <w:proofErr w:type="gramEnd"/>
      <w:r w:rsidRPr="0001454E">
        <w:t>3</w:t>
      </w:r>
      <w:r w:rsidR="000633D9">
        <w:t>)</w:t>
      </w:r>
      <w:r w:rsidRPr="0001454E">
        <w:t xml:space="preserve"> organization</w:t>
      </w:r>
      <w:r w:rsidR="00B83490">
        <w:t xml:space="preserve"> in Washington, D.C.  Its</w:t>
      </w:r>
      <w:r w:rsidRPr="0001454E">
        <w:t xml:space="preserve"> mission </w:t>
      </w:r>
      <w:r w:rsidR="00B83490">
        <w:t xml:space="preserve">was </w:t>
      </w:r>
      <w:r w:rsidRPr="0001454E">
        <w:t xml:space="preserve">to focus on improving the human health impact of building materials.  At the time, many commonly used building products contained undisclosed chemical ingredients that were hazardous </w:t>
      </w:r>
      <w:r w:rsidR="00B83490">
        <w:t>to</w:t>
      </w:r>
      <w:r w:rsidRPr="0001454E">
        <w:t xml:space="preserve"> human</w:t>
      </w:r>
      <w:r w:rsidR="00B83490">
        <w:t>s</w:t>
      </w:r>
      <w:r w:rsidRPr="0001454E">
        <w:t>.  An example of a dangerous</w:t>
      </w:r>
      <w:r w:rsidR="00790D12">
        <w:t xml:space="preserve"> building material was pressure </w:t>
      </w:r>
      <w:r w:rsidRPr="0001454E">
        <w:t>treated wood, which was infused with copper, chromium VI, and arsenic</w:t>
      </w:r>
      <w:r w:rsidR="000E07C4">
        <w:t xml:space="preserve"> - </w:t>
      </w:r>
      <w:r w:rsidRPr="0001454E">
        <w:t xml:space="preserve">all known hazards to human health and the environment.  </w:t>
      </w:r>
      <w:r w:rsidR="00790D12">
        <w:t>Pressure treated</w:t>
      </w:r>
      <w:r w:rsidRPr="0001454E">
        <w:t xml:space="preserve"> wood was given an exemption </w:t>
      </w:r>
      <w:r w:rsidR="00EA1047">
        <w:t xml:space="preserve">by the EPA </w:t>
      </w:r>
      <w:r w:rsidRPr="0001454E">
        <w:t xml:space="preserve">for the use of arsenic and for </w:t>
      </w:r>
      <w:r w:rsidR="00507350">
        <w:t xml:space="preserve">the </w:t>
      </w:r>
      <w:r w:rsidRPr="0001454E">
        <w:t xml:space="preserve">disposal of the wood, even though it contained hazardous materials that legally could not go into landfill.  Until 2004, </w:t>
      </w:r>
      <w:r w:rsidR="00790D12">
        <w:t>pressure treated</w:t>
      </w:r>
      <w:r w:rsidRPr="0001454E">
        <w:t xml:space="preserve"> wood was the most common source of arsenic exposure </w:t>
      </w:r>
      <w:r w:rsidR="000633D9">
        <w:t>for</w:t>
      </w:r>
      <w:r w:rsidRPr="0001454E">
        <w:t xml:space="preserve"> children and adults in the United States.  Due to this loophole for </w:t>
      </w:r>
      <w:r w:rsidR="00790D12">
        <w:t>pressure treated</w:t>
      </w:r>
      <w:r w:rsidRPr="0001454E">
        <w:t xml:space="preserve"> wood in waste disposal laws, arsenic leaking from the wood in landfills was implicated in groundwater contamination.  Another common building material, PVC, was estimated to be the single largest material source of dioxin </w:t>
      </w:r>
      <w:r w:rsidRPr="0001454E">
        <w:lastRenderedPageBreak/>
        <w:t xml:space="preserve">to the global environment over the course of its life cycle: production, use, and disposal.  For these reasons, </w:t>
      </w:r>
      <w:proofErr w:type="spellStart"/>
      <w:r w:rsidRPr="0001454E">
        <w:t>HBN</w:t>
      </w:r>
      <w:proofErr w:type="spellEnd"/>
      <w:r w:rsidRPr="0001454E">
        <w:t xml:space="preserve"> committed to employing comprehensive lifecycle thinking when evaluating green building materials.  Substituting cost-effective, healthier building materials for these toxic products was considered by Bill the single most effective step he could take to preserve and regenerate the environment, and to protect public health.  </w:t>
      </w:r>
    </w:p>
    <w:p w:rsidR="0001454E" w:rsidRPr="0001454E" w:rsidRDefault="0001454E" w:rsidP="0001454E">
      <w:pPr>
        <w:spacing w:line="480" w:lineRule="auto"/>
        <w:ind w:firstLine="720"/>
      </w:pPr>
      <w:proofErr w:type="spellStart"/>
      <w:r w:rsidRPr="0001454E">
        <w:t>HBN</w:t>
      </w:r>
      <w:proofErr w:type="spellEnd"/>
      <w:r w:rsidRPr="0001454E">
        <w:t xml:space="preserve"> also was deeply committed to the goal of achieving environmental justice</w:t>
      </w:r>
      <w:r w:rsidR="00507350">
        <w:t xml:space="preserve"> because the poor tended to suffer the most from pollution, not only in the polluting countries but also in other parts of the world.  </w:t>
      </w:r>
      <w:r w:rsidRPr="0001454E">
        <w:t>Bill shared his frustration:</w:t>
      </w:r>
    </w:p>
    <w:p w:rsidR="0001454E" w:rsidRPr="0001454E" w:rsidRDefault="0001454E" w:rsidP="0001454E">
      <w:pPr>
        <w:spacing w:line="480" w:lineRule="auto"/>
        <w:ind w:left="720"/>
      </w:pPr>
      <w:r w:rsidRPr="0001454E">
        <w:t>Studies in the United States had repeatedly demonstrated that poor communities and communities of color suffer disproportionate environmental and health impacts associated with heavy industry and waste facilities.  The globalized economy often inflicts environmental and human health consequences upon indigenous peoples living far from the site – and presumed economic benefits – of industrial activity.  Inuit women, for example, living subsistence lifestyles in far northern Canada have higher concentrations of industrial chemicals in their breast milk than any other community of women on Earth.  I am mindful of David Orr’s observation that, "Nothing is beautiful that causes ugliness in any other place or at any other time in the world."</w:t>
      </w:r>
    </w:p>
    <w:p w:rsidR="0001454E" w:rsidRPr="0001454E" w:rsidRDefault="0001454E" w:rsidP="0001454E">
      <w:pPr>
        <w:spacing w:line="480" w:lineRule="auto"/>
        <w:ind w:firstLine="720"/>
      </w:pPr>
    </w:p>
    <w:p w:rsidR="009A0FC8" w:rsidRPr="0001454E" w:rsidRDefault="009A0FC8" w:rsidP="009A0FC8">
      <w:pPr>
        <w:spacing w:line="480" w:lineRule="auto"/>
        <w:ind w:firstLine="720"/>
      </w:pPr>
      <w:r w:rsidRPr="0001454E">
        <w:t xml:space="preserve">The way Bill managed the </w:t>
      </w:r>
      <w:proofErr w:type="spellStart"/>
      <w:r w:rsidRPr="0001454E">
        <w:t>HBN</w:t>
      </w:r>
      <w:proofErr w:type="spellEnd"/>
      <w:r w:rsidRPr="0001454E">
        <w:t xml:space="preserve"> organization was a marked departure from his experience at Greenpeace.  Greenpeace went from </w:t>
      </w:r>
      <w:r w:rsidR="00C048AB">
        <w:t>being cash poor to cash rich</w:t>
      </w:r>
      <w:r w:rsidRPr="0001454E">
        <w:t xml:space="preserve"> almost overnight, after the </w:t>
      </w:r>
      <w:r w:rsidR="00971DF0">
        <w:t xml:space="preserve">French Government was required to pay for the </w:t>
      </w:r>
      <w:r w:rsidRPr="0001454E">
        <w:t xml:space="preserve">sinking of </w:t>
      </w:r>
      <w:r w:rsidR="00971DF0">
        <w:t>Greenpeace’s</w:t>
      </w:r>
      <w:r w:rsidR="00971DF0" w:rsidRPr="0001454E">
        <w:t xml:space="preserve"> </w:t>
      </w:r>
      <w:r w:rsidRPr="0001454E">
        <w:t xml:space="preserve">ship by the French foreign intelligence services in 1985.  It grew very fast but did not put any business processes in place and had no sense of </w:t>
      </w:r>
      <w:r w:rsidR="00971DF0">
        <w:t>building a</w:t>
      </w:r>
      <w:r w:rsidR="006100DC">
        <w:t xml:space="preserve"> formal</w:t>
      </w:r>
      <w:r w:rsidRPr="0001454E">
        <w:t xml:space="preserve"> organization.  Bill, and several of his </w:t>
      </w:r>
      <w:proofErr w:type="spellStart"/>
      <w:r w:rsidRPr="0001454E">
        <w:t>HBN</w:t>
      </w:r>
      <w:proofErr w:type="spellEnd"/>
      <w:r w:rsidRPr="0001454E">
        <w:t xml:space="preserve"> colleagues, had experienced difficult organizational issues at Greenpeace that had resulted from this rapid, uncontrolled growth.  Shortly before he left, the organization experienced a significant budget shortfall so </w:t>
      </w:r>
      <w:r w:rsidR="00234F03">
        <w:t>it</w:t>
      </w:r>
      <w:r w:rsidR="00234F03" w:rsidRPr="0001454E">
        <w:t xml:space="preserve"> </w:t>
      </w:r>
      <w:r w:rsidRPr="0001454E">
        <w:t xml:space="preserve">had to do a massive </w:t>
      </w:r>
      <w:r w:rsidRPr="0001454E">
        <w:lastRenderedPageBreak/>
        <w:t>downsizing.  Bill recalled, “Greenpeace also had an unmanageable board of directors who were famously ineffective when it came to making big decisions.”</w:t>
      </w:r>
    </w:p>
    <w:p w:rsidR="009A0FC8" w:rsidRPr="00F33292" w:rsidRDefault="009A0FC8" w:rsidP="00F33292">
      <w:pPr>
        <w:spacing w:line="480" w:lineRule="auto"/>
        <w:ind w:firstLine="720"/>
      </w:pPr>
      <w:r w:rsidRPr="0001454E">
        <w:t>Bill, in</w:t>
      </w:r>
      <w:r w:rsidR="00234F03">
        <w:t xml:space="preserve"> contrast</w:t>
      </w:r>
      <w:r w:rsidRPr="0001454E">
        <w:t xml:space="preserve">, had deliberately built </w:t>
      </w:r>
      <w:proofErr w:type="spellStart"/>
      <w:r w:rsidRPr="0001454E">
        <w:t>HBN</w:t>
      </w:r>
      <w:proofErr w:type="spellEnd"/>
      <w:r w:rsidRPr="0001454E">
        <w:t xml:space="preserve"> as a small team of ten full-time people located around the country.  They telecommuted and interacted virtually.  </w:t>
      </w:r>
      <w:r w:rsidR="00EA1047">
        <w:t xml:space="preserve">The team consisted of advocacy experts who could share </w:t>
      </w:r>
      <w:r w:rsidR="00563F92">
        <w:t xml:space="preserve">research on specific environmental issues.  Although </w:t>
      </w:r>
      <w:proofErr w:type="spellStart"/>
      <w:r w:rsidR="00563F92">
        <w:t>HBN</w:t>
      </w:r>
      <w:proofErr w:type="spellEnd"/>
      <w:r w:rsidR="00563F92">
        <w:t xml:space="preserve"> was headquartered in Washington, D.C., Bill lived and worked in Vermont.  There was an administrative assistant in the DC office, but that was the extent of the organization.  </w:t>
      </w:r>
      <w:r w:rsidRPr="0001454E">
        <w:t>Bill raised his money from a circle of friends, through grants, and through one major donor</w:t>
      </w:r>
      <w:r w:rsidR="00E44755">
        <w:t xml:space="preserve"> who believed in his work</w:t>
      </w:r>
      <w:r w:rsidRPr="0001454E">
        <w:t>.  Instead of, as many nonprofits do, creating a cumbersome board of people who have given large sums to the organization, Bill created a board of three people, all non-voting.  He was adamant that he did not want to give up any control.</w:t>
      </w:r>
    </w:p>
    <w:p w:rsidR="0001454E" w:rsidRPr="0001454E" w:rsidRDefault="0001454E" w:rsidP="0001454E">
      <w:pPr>
        <w:spacing w:line="480" w:lineRule="auto"/>
        <w:ind w:firstLine="720"/>
      </w:pPr>
      <w:r w:rsidRPr="0001454E">
        <w:t xml:space="preserve">When </w:t>
      </w:r>
      <w:proofErr w:type="spellStart"/>
      <w:r w:rsidRPr="0001454E">
        <w:t>HBN</w:t>
      </w:r>
      <w:proofErr w:type="spellEnd"/>
      <w:r w:rsidRPr="0001454E">
        <w:t xml:space="preserve"> started out, the approach that Bill and his colleagues took was to identify a very significant health hazard problem – such as </w:t>
      </w:r>
      <w:r w:rsidR="005766B6">
        <w:t xml:space="preserve">the chemicals used in </w:t>
      </w:r>
      <w:r w:rsidR="00790D12">
        <w:t>pressure treated</w:t>
      </w:r>
      <w:r w:rsidRPr="0001454E">
        <w:t xml:space="preserve"> lumber – and mount what was referred to by Bill as a “market campaign” to raise awareness of the problem.  Bill’s thesis was that targeted market campaigns increase</w:t>
      </w:r>
      <w:r w:rsidR="000E07C4">
        <w:t>d</w:t>
      </w:r>
      <w:r w:rsidRPr="0001454E">
        <w:t xml:space="preserve"> awareness of health hazards, which would subsequently alter consumer purchasing behavior.  At the same time, </w:t>
      </w:r>
      <w:proofErr w:type="spellStart"/>
      <w:r w:rsidRPr="0001454E">
        <w:t>HBN</w:t>
      </w:r>
      <w:proofErr w:type="spellEnd"/>
      <w:r w:rsidRPr="0001454E">
        <w:t xml:space="preserve"> developed fact-based research to supply evidence to support its claims that </w:t>
      </w:r>
      <w:r w:rsidR="005766B6">
        <w:t xml:space="preserve">products that contained what </w:t>
      </w:r>
      <w:proofErr w:type="spellStart"/>
      <w:r w:rsidR="005766B6">
        <w:t>HBN</w:t>
      </w:r>
      <w:proofErr w:type="spellEnd"/>
      <w:r w:rsidR="005766B6">
        <w:t xml:space="preserve"> deemed toxic</w:t>
      </w:r>
      <w:r w:rsidRPr="0001454E">
        <w:t xml:space="preserve"> </w:t>
      </w:r>
      <w:r w:rsidR="005766B6">
        <w:t>chemicals were</w:t>
      </w:r>
      <w:r w:rsidRPr="0001454E">
        <w:t xml:space="preserve"> a serious health hazard.  The ultimate goal was to pressure manufacturers into eliminating or reducing the problem chemicals</w:t>
      </w:r>
      <w:r w:rsidR="000B7B90">
        <w:t xml:space="preserve"> used </w:t>
      </w:r>
      <w:r w:rsidR="008532F1">
        <w:t>to make</w:t>
      </w:r>
      <w:r w:rsidR="000B7B90">
        <w:t xml:space="preserve"> the product</w:t>
      </w:r>
      <w:r w:rsidRPr="0001454E">
        <w:t xml:space="preserve">.  This could come about by consumers voicing concerns and by decreasing their purchases of the product.  Another strategy of the campaign was to form alliances with other committed individuals and groups who held similar concerns, in order to secure more influence.  Although it was not the primary goal of a market campaign, it was also hoped that a secondary effect might be to stimulate governmental action to restrict – or even ban – the use of the </w:t>
      </w:r>
      <w:r w:rsidR="005766B6">
        <w:t xml:space="preserve">toxic </w:t>
      </w:r>
      <w:r w:rsidRPr="0001454E">
        <w:t>material</w:t>
      </w:r>
      <w:r w:rsidR="005766B6">
        <w:t>s</w:t>
      </w:r>
      <w:r w:rsidRPr="0001454E">
        <w:t>.</w:t>
      </w:r>
    </w:p>
    <w:p w:rsidR="0001454E" w:rsidRPr="0001454E" w:rsidRDefault="0001454E" w:rsidP="0001454E">
      <w:pPr>
        <w:spacing w:line="480" w:lineRule="auto"/>
        <w:ind w:firstLine="720"/>
      </w:pPr>
      <w:proofErr w:type="spellStart"/>
      <w:r w:rsidRPr="0001454E">
        <w:lastRenderedPageBreak/>
        <w:t>HBN’s</w:t>
      </w:r>
      <w:proofErr w:type="spellEnd"/>
      <w:r w:rsidRPr="0001454E">
        <w:t xml:space="preserve"> </w:t>
      </w:r>
      <w:r w:rsidR="00790D12">
        <w:t>pressure treated</w:t>
      </w:r>
      <w:r w:rsidRPr="0001454E">
        <w:t xml:space="preserve"> lumber campaign was successful.  With a diverse coalition of partners, </w:t>
      </w:r>
      <w:proofErr w:type="spellStart"/>
      <w:r w:rsidRPr="0001454E">
        <w:t>HBN</w:t>
      </w:r>
      <w:proofErr w:type="spellEnd"/>
      <w:r w:rsidRPr="0001454E">
        <w:t xml:space="preserve"> launched a campaign in 2001 that transformed the treated-wood industry.  By 2003, major manufacturers agreed to end the use of arsenic-treated wood in 80% of their product line, and the </w:t>
      </w:r>
      <w:r w:rsidR="000E07C4">
        <w:t xml:space="preserve">EPA </w:t>
      </w:r>
      <w:r w:rsidRPr="0001454E">
        <w:t xml:space="preserve">halted the manufacture and sale of arsenic-treated wood for most residential uses as of January 1, 2004.  However, it began to become apparent to Bill that the “single-issue” campaign, while having the virtue of focus, had the downside of limited scope; the kind of fundamental transformation of an entire industry that he was envisioning would be very difficult to achieve by </w:t>
      </w:r>
      <w:r w:rsidR="000C1409">
        <w:t>going after one hazardous product at a time.</w:t>
      </w:r>
    </w:p>
    <w:p w:rsidR="0001454E" w:rsidRPr="0001454E" w:rsidRDefault="0001454E" w:rsidP="0001454E">
      <w:pPr>
        <w:spacing w:line="480" w:lineRule="auto"/>
        <w:rPr>
          <w:u w:val="single"/>
        </w:rPr>
      </w:pPr>
    </w:p>
    <w:p w:rsidR="0001454E" w:rsidRPr="00677627" w:rsidRDefault="0001454E" w:rsidP="00677627">
      <w:pPr>
        <w:spacing w:line="480" w:lineRule="auto"/>
        <w:jc w:val="center"/>
      </w:pPr>
      <w:r w:rsidRPr="00677627">
        <w:t>The Pharos Project</w:t>
      </w:r>
    </w:p>
    <w:p w:rsidR="0001454E" w:rsidRPr="0001454E" w:rsidRDefault="0001454E" w:rsidP="00AE2B3C">
      <w:pPr>
        <w:spacing w:after="120" w:line="480" w:lineRule="auto"/>
        <w:ind w:firstLine="720"/>
      </w:pPr>
      <w:proofErr w:type="spellStart"/>
      <w:r w:rsidRPr="0001454E">
        <w:t>HBN</w:t>
      </w:r>
      <w:proofErr w:type="spellEnd"/>
      <w:r w:rsidRPr="0001454E">
        <w:t xml:space="preserve"> had been very successful on multiple levels.  Bill proudly stated: </w:t>
      </w:r>
    </w:p>
    <w:p w:rsidR="0001454E" w:rsidRPr="0001454E" w:rsidRDefault="0001454E" w:rsidP="0001454E">
      <w:pPr>
        <w:spacing w:line="480" w:lineRule="auto"/>
        <w:ind w:left="720"/>
      </w:pPr>
      <w:r w:rsidRPr="0001454E">
        <w:t>Since 2000, our projects have directly resulted in the introduction of new, healthier building materials into commercial markets, shifting over $4 billion in materials purchases from toxic materials to healthier alternatives.  We have played a key role in establishing precedent-setting green building guidel</w:t>
      </w:r>
      <w:r w:rsidR="000C1409">
        <w:t>ines for health care facilities</w:t>
      </w:r>
      <w:r w:rsidRPr="0001454E">
        <w:t xml:space="preserve"> and </w:t>
      </w:r>
      <w:r w:rsidR="000C1409">
        <w:t xml:space="preserve">in </w:t>
      </w:r>
      <w:r w:rsidRPr="0001454E">
        <w:t>demonstrating well-built, healthy and green modular homes to the affordable housing market in the Gulf States region.</w:t>
      </w:r>
    </w:p>
    <w:p w:rsidR="0001454E" w:rsidRPr="0001454E" w:rsidRDefault="0001454E" w:rsidP="0001454E">
      <w:pPr>
        <w:spacing w:line="480" w:lineRule="auto"/>
      </w:pPr>
    </w:p>
    <w:p w:rsidR="0001454E" w:rsidRPr="0001454E" w:rsidRDefault="0001454E" w:rsidP="0001454E">
      <w:pPr>
        <w:spacing w:line="480" w:lineRule="auto"/>
        <w:ind w:firstLine="720"/>
      </w:pPr>
      <w:r w:rsidRPr="0001454E">
        <w:t>But Bill wondered, “What if, instead of providing consumers with health hazard information on a single product, it was possible to provide them with this same information on a large number of products?”</w:t>
      </w:r>
    </w:p>
    <w:p w:rsidR="0001454E" w:rsidRPr="0001454E" w:rsidRDefault="0001454E" w:rsidP="0001454E">
      <w:pPr>
        <w:spacing w:line="480" w:lineRule="auto"/>
        <w:ind w:firstLine="720"/>
      </w:pPr>
      <w:r w:rsidRPr="0001454E">
        <w:t xml:space="preserve">The Pharos Project was the answer that </w:t>
      </w:r>
      <w:r w:rsidR="0083249A">
        <w:t>Bill</w:t>
      </w:r>
      <w:r w:rsidRPr="0001454E">
        <w:t xml:space="preserve"> developed to address the limitations of the single-issue campaign.  With the advent of the Internet and the availability of low-cost software development tools hosted on personal computers, the barriers to entry into the software application world were becoming fewer every day.  Bill knew he needed an experienced person to lead the investigation into </w:t>
      </w:r>
      <w:r w:rsidRPr="0001454E">
        <w:lastRenderedPageBreak/>
        <w:t xml:space="preserve">how to create this kind of health hazard database.  He remembered Larry Kilroy from his time at Greenpeace, and approached Larry about joining </w:t>
      </w:r>
      <w:proofErr w:type="spellStart"/>
      <w:r w:rsidRPr="0001454E">
        <w:t>HBN</w:t>
      </w:r>
      <w:proofErr w:type="spellEnd"/>
      <w:r w:rsidRPr="0001454E">
        <w:t xml:space="preserve"> in 2006.  Larry had experience in several companies developing online database systems, and he agreed to come onboard and help </w:t>
      </w:r>
      <w:proofErr w:type="spellStart"/>
      <w:r w:rsidRPr="0001454E">
        <w:t>HBN</w:t>
      </w:r>
      <w:proofErr w:type="spellEnd"/>
      <w:r w:rsidRPr="0001454E">
        <w:t xml:space="preserve"> determine what could be done.  Within the first year after he joined </w:t>
      </w:r>
      <w:proofErr w:type="spellStart"/>
      <w:r w:rsidRPr="0001454E">
        <w:t>HBN</w:t>
      </w:r>
      <w:proofErr w:type="spellEnd"/>
      <w:r w:rsidRPr="0001454E">
        <w:t xml:space="preserve">, Larry had created a prototype of an online database and analysis system, which would be able to catalog building products based on their chemical composition.  </w:t>
      </w:r>
    </w:p>
    <w:p w:rsidR="0001454E" w:rsidRPr="0001454E" w:rsidRDefault="0001454E" w:rsidP="0001454E">
      <w:pPr>
        <w:spacing w:after="120" w:line="480" w:lineRule="auto"/>
        <w:ind w:firstLine="720"/>
      </w:pPr>
      <w:r w:rsidRPr="0001454E">
        <w:t>Bill explained why he named the project “Pharos”:</w:t>
      </w:r>
    </w:p>
    <w:p w:rsidR="0001454E" w:rsidRPr="0001454E" w:rsidRDefault="0001454E" w:rsidP="0001454E">
      <w:pPr>
        <w:spacing w:line="480" w:lineRule="auto"/>
        <w:ind w:left="720"/>
      </w:pPr>
      <w:r w:rsidRPr="0001454E">
        <w:t>Just like the mythological lighthouse, the Pharos system would be able to penetrate what had heretofore been the un-seeable depths of products’ chemical compositions.  It would illuminate chemicals of concern, and allow a consumer to find and specify products whose health hazard performance was superior to others.</w:t>
      </w:r>
    </w:p>
    <w:p w:rsidR="0001454E" w:rsidRPr="0001454E" w:rsidRDefault="0001454E" w:rsidP="0001454E">
      <w:pPr>
        <w:spacing w:line="480" w:lineRule="auto"/>
      </w:pPr>
    </w:p>
    <w:p w:rsidR="0001454E" w:rsidRPr="0001454E" w:rsidRDefault="0001454E" w:rsidP="0001454E">
      <w:pPr>
        <w:spacing w:line="480" w:lineRule="auto"/>
        <w:ind w:firstLine="720"/>
      </w:pPr>
      <w:r w:rsidRPr="0001454E">
        <w:t>The challenge the team still faced, however, was that Pharos was not the first such product in the</w:t>
      </w:r>
      <w:r w:rsidR="003266AC">
        <w:t xml:space="preserve"> environmentally friendly building market</w:t>
      </w:r>
      <w:r w:rsidRPr="0001454E">
        <w:t xml:space="preserve">.  Because the demand for “green building” had been booming, several startup companies had developed and introduced their own green products databases.  Bill and Larry still had to work on how Pharos was going to be more effective than the others. </w:t>
      </w:r>
    </w:p>
    <w:p w:rsidR="0001454E" w:rsidRPr="0001454E" w:rsidRDefault="0001454E" w:rsidP="0001454E">
      <w:pPr>
        <w:spacing w:line="480" w:lineRule="auto"/>
        <w:rPr>
          <w:u w:val="single"/>
        </w:rPr>
      </w:pPr>
    </w:p>
    <w:p w:rsidR="0001454E" w:rsidRPr="00677627" w:rsidRDefault="0001454E" w:rsidP="0001454E">
      <w:pPr>
        <w:spacing w:line="480" w:lineRule="auto"/>
      </w:pPr>
      <w:r w:rsidRPr="00677627">
        <w:t>Green Building Products</w:t>
      </w:r>
    </w:p>
    <w:p w:rsidR="0001454E" w:rsidRPr="0001454E" w:rsidRDefault="0001454E" w:rsidP="0001454E">
      <w:pPr>
        <w:spacing w:line="480" w:lineRule="auto"/>
        <w:ind w:firstLine="720"/>
      </w:pPr>
      <w:r w:rsidRPr="0001454E">
        <w:t xml:space="preserve">There was a growing need on the part of building professionals, particularly </w:t>
      </w:r>
      <w:proofErr w:type="spellStart"/>
      <w:r w:rsidRPr="0001454E">
        <w:t>specifiers</w:t>
      </w:r>
      <w:proofErr w:type="spellEnd"/>
      <w:r w:rsidRPr="0001454E">
        <w:t xml:space="preserve"> of building products (primarily architects, designers, engineers and contractors – “</w:t>
      </w:r>
      <w:proofErr w:type="spellStart"/>
      <w:r w:rsidRPr="0001454E">
        <w:t>AEC</w:t>
      </w:r>
      <w:proofErr w:type="spellEnd"/>
      <w:r w:rsidRPr="0001454E">
        <w:t xml:space="preserve">”), to understand the "green" (environmental and sustainability) characteristics of building products.  The strength of this demand was considerable, as shown by data on green building trends.  Green buildings used environmentally friendly building practices, and a main element was to use nontoxic materials.  According to McGraw-Hill </w:t>
      </w:r>
      <w:r w:rsidRPr="0001454E">
        <w:lastRenderedPageBreak/>
        <w:t>Construction</w:t>
      </w:r>
      <w:r w:rsidRPr="0001454E">
        <w:rPr>
          <w:vertAlign w:val="superscript"/>
        </w:rPr>
        <w:footnoteReference w:id="1"/>
      </w:r>
      <w:r w:rsidRPr="0001454E">
        <w:t xml:space="preserve">, demand for green buildings rose 50% from 2008-2010, during one of the worst construction markets in recent times.  In 2010, the U.S. market was estimated at $71 billion, representing 25% of new construction – and was projected to grow to $135 billion by 2015.  Fueled by this growth in demand for green buildings, green building products had proliferated.  Green building products comprised any component part of a building, ranging from interior finishes to structural beams to exterior cladding, and everything in between.  According to a report from the </w:t>
      </w:r>
      <w:proofErr w:type="spellStart"/>
      <w:r w:rsidRPr="0001454E">
        <w:t>Freedonia</w:t>
      </w:r>
      <w:proofErr w:type="spellEnd"/>
      <w:r w:rsidRPr="0001454E">
        <w:t xml:space="preserve"> Group</w:t>
      </w:r>
      <w:r w:rsidRPr="0001454E">
        <w:rPr>
          <w:vertAlign w:val="superscript"/>
        </w:rPr>
        <w:footnoteReference w:id="2"/>
      </w:r>
      <w:r w:rsidRPr="0001454E">
        <w:t>, the market for green building products was $58 billion in 2008 and was forecasted to grow at 6% annually through 2013.</w:t>
      </w:r>
    </w:p>
    <w:p w:rsidR="0001454E" w:rsidRPr="0001454E" w:rsidRDefault="00FA1E83" w:rsidP="0001454E">
      <w:pPr>
        <w:spacing w:line="480" w:lineRule="auto"/>
        <w:ind w:firstLine="720"/>
      </w:pPr>
      <w:r>
        <w:t xml:space="preserve">The real </w:t>
      </w:r>
      <w:r w:rsidR="0001454E" w:rsidRPr="0001454E">
        <w:t xml:space="preserve">growth in the demand for green building products </w:t>
      </w:r>
      <w:r>
        <w:t>was conflated due to</w:t>
      </w:r>
      <w:r w:rsidR="0001454E" w:rsidRPr="0001454E">
        <w:t xml:space="preserve"> a vast range of claims about what made a building product “green.”  Bill pointed out, “Building product </w:t>
      </w:r>
      <w:proofErr w:type="spellStart"/>
      <w:r w:rsidR="0001454E" w:rsidRPr="0001454E">
        <w:t>specifiers</w:t>
      </w:r>
      <w:proofErr w:type="spellEnd"/>
      <w:r w:rsidR="0001454E" w:rsidRPr="0001454E">
        <w:t xml:space="preserve"> find it increasingly difficult to differentiate between legitimate and </w:t>
      </w:r>
      <w:proofErr w:type="gramStart"/>
      <w:r w:rsidR="00C048AB">
        <w:t>’</w:t>
      </w:r>
      <w:r w:rsidR="0001454E" w:rsidRPr="0001454E">
        <w:t>greenwashing</w:t>
      </w:r>
      <w:r w:rsidR="006100DC">
        <w:t xml:space="preserve">‘ </w:t>
      </w:r>
      <w:r w:rsidR="0001454E" w:rsidRPr="0001454E">
        <w:t>claims</w:t>
      </w:r>
      <w:proofErr w:type="gramEnd"/>
      <w:r w:rsidR="0001454E" w:rsidRPr="0001454E">
        <w:t xml:space="preserve"> for the thousands of new products that are being introduced to meet this demand.”  The proliferation of self-promulgated “standards” in the green building community was quite stunning; there were estimated to be over 100 competing “standards” that potentially applied to green building products.  These included: independent third party certifications; industry-wide standards; corporate standards; single attribute ratings; multi-attribute ratings; proprietary labels, and credits within green building rating systems.  In addition, there had been a number of government laws and regulations already passed.  Two recent studies determined that commercial buyers, including those in the building industry, found the standards confusing and ineffective.</w:t>
      </w:r>
      <w:r w:rsidR="0001454E" w:rsidRPr="0001454E">
        <w:rPr>
          <w:vertAlign w:val="superscript"/>
        </w:rPr>
        <w:footnoteReference w:id="3"/>
      </w:r>
    </w:p>
    <w:p w:rsidR="0001454E" w:rsidRPr="0001454E" w:rsidRDefault="0001454E" w:rsidP="0001454E">
      <w:pPr>
        <w:spacing w:line="480" w:lineRule="auto"/>
        <w:rPr>
          <w:u w:val="single"/>
        </w:rPr>
      </w:pPr>
    </w:p>
    <w:p w:rsidR="0001454E" w:rsidRPr="00677627" w:rsidRDefault="0001454E" w:rsidP="0001454E">
      <w:pPr>
        <w:spacing w:line="480" w:lineRule="auto"/>
      </w:pPr>
      <w:r w:rsidRPr="00677627">
        <w:lastRenderedPageBreak/>
        <w:t xml:space="preserve">The </w:t>
      </w:r>
      <w:r w:rsidR="004178CA" w:rsidRPr="00677627">
        <w:t>Product Specification</w:t>
      </w:r>
    </w:p>
    <w:p w:rsidR="0001454E" w:rsidRPr="0001454E" w:rsidRDefault="0001454E" w:rsidP="0001454E">
      <w:pPr>
        <w:spacing w:line="480" w:lineRule="auto"/>
        <w:ind w:firstLine="720"/>
      </w:pPr>
      <w:r w:rsidRPr="0001454E">
        <w:t xml:space="preserve">Bill and Larry continued to refine their vision of the Pharos System.  They first analyzed what all the other companies were doing and found that they were not necessarily focusing on product toxicity.  (See Exhibit 1 for a listing of competitors.)  Part of the reason for this was what was required to get </w:t>
      </w:r>
      <w:proofErr w:type="spellStart"/>
      <w:r w:rsidRPr="0001454E">
        <w:t>LEED</w:t>
      </w:r>
      <w:proofErr w:type="spellEnd"/>
      <w:r w:rsidRPr="0001454E">
        <w:t xml:space="preserve"> certified.  </w:t>
      </w:r>
      <w:proofErr w:type="spellStart"/>
      <w:r w:rsidRPr="0001454E">
        <w:t>LEED</w:t>
      </w:r>
      <w:proofErr w:type="spellEnd"/>
      <w:r w:rsidRPr="0001454E">
        <w:t xml:space="preserve"> </w:t>
      </w:r>
      <w:r w:rsidRPr="0001454E">
        <w:rPr>
          <w:lang w:val="en"/>
        </w:rPr>
        <w:t>(Leadership in Energy and Environmental Design) was a voluntary, consensus-based, market-driven program that provided third-party verification of green buildings.  However, an</w:t>
      </w:r>
      <w:r w:rsidRPr="0001454E">
        <w:t xml:space="preserve"> analysis from the research group Environmental and Human Health, Inc.</w:t>
      </w:r>
      <w:r w:rsidRPr="0001454E">
        <w:rPr>
          <w:vertAlign w:val="superscript"/>
        </w:rPr>
        <w:footnoteReference w:id="4"/>
      </w:r>
      <w:r w:rsidRPr="0001454E">
        <w:t xml:space="preserve"> concluded that "green buildings" could achieve the highest level of </w:t>
      </w:r>
      <w:proofErr w:type="spellStart"/>
      <w:r w:rsidRPr="0001454E">
        <w:t>LEED</w:t>
      </w:r>
      <w:proofErr w:type="spellEnd"/>
      <w:r w:rsidRPr="0001454E">
        <w:t xml:space="preserve"> certification without necessarily addressing toxicity in the building materials used.  Therefore, in other Green Building Product Directories, the primary emphasis was on the following building product characteristics:</w:t>
      </w:r>
    </w:p>
    <w:p w:rsidR="0001454E" w:rsidRPr="0001454E" w:rsidRDefault="0001454E" w:rsidP="0001454E">
      <w:pPr>
        <w:spacing w:line="480" w:lineRule="auto"/>
        <w:ind w:left="720"/>
      </w:pPr>
      <w:r w:rsidRPr="0001454E">
        <w:t>1) Recycled and renewable material content,</w:t>
      </w:r>
    </w:p>
    <w:p w:rsidR="0001454E" w:rsidRPr="0001454E" w:rsidRDefault="0001454E" w:rsidP="0001454E">
      <w:pPr>
        <w:spacing w:line="480" w:lineRule="auto"/>
        <w:ind w:left="720"/>
      </w:pPr>
      <w:r w:rsidRPr="0001454E">
        <w:t>2) Volatile Organic Compound emissions that met certain state and other standards,</w:t>
      </w:r>
    </w:p>
    <w:p w:rsidR="0001454E" w:rsidRPr="0001454E" w:rsidRDefault="0001454E" w:rsidP="0001454E">
      <w:pPr>
        <w:spacing w:line="480" w:lineRule="auto"/>
        <w:ind w:left="720"/>
      </w:pPr>
      <w:r w:rsidRPr="0001454E">
        <w:t>3) Contribution to a building’s energy efficiency, and</w:t>
      </w:r>
    </w:p>
    <w:p w:rsidR="0001454E" w:rsidRPr="0001454E" w:rsidRDefault="0001454E" w:rsidP="0001454E">
      <w:pPr>
        <w:spacing w:line="480" w:lineRule="auto"/>
        <w:ind w:left="720"/>
      </w:pPr>
      <w:r w:rsidRPr="0001454E">
        <w:t>4) Contribution to a building’s carbon footprint</w:t>
      </w:r>
    </w:p>
    <w:p w:rsidR="0001454E" w:rsidRPr="0001454E" w:rsidRDefault="0001454E" w:rsidP="0001454E">
      <w:pPr>
        <w:spacing w:line="480" w:lineRule="auto"/>
        <w:ind w:firstLine="720"/>
        <w:jc w:val="center"/>
      </w:pPr>
      <w:r w:rsidRPr="0001454E">
        <w:t>[Insert Exhibit 1 here]</w:t>
      </w:r>
    </w:p>
    <w:p w:rsidR="0001454E" w:rsidRPr="0001454E" w:rsidRDefault="0001454E" w:rsidP="0001454E">
      <w:pPr>
        <w:spacing w:line="480" w:lineRule="auto"/>
      </w:pPr>
    </w:p>
    <w:p w:rsidR="0001454E" w:rsidRPr="0001454E" w:rsidRDefault="004D5753" w:rsidP="0001454E">
      <w:pPr>
        <w:spacing w:line="480" w:lineRule="auto"/>
        <w:ind w:firstLine="720"/>
      </w:pPr>
      <w:r>
        <w:t xml:space="preserve">From the competitor analysis, </w:t>
      </w:r>
      <w:r w:rsidR="0001454E" w:rsidRPr="0001454E">
        <w:t xml:space="preserve">Bill decided that </w:t>
      </w:r>
      <w:r>
        <w:t>the competition had yet to address the toxicity issue.  T</w:t>
      </w:r>
      <w:r w:rsidR="0001454E" w:rsidRPr="0001454E">
        <w:t xml:space="preserve">he differences among building products, based on adding complete toxicity and healthfulness data, could be very significant. For example, some products certified to indoor air quality standards covered by the above certifications could still emit toxic chemicals into the air.  </w:t>
      </w:r>
      <w:r>
        <w:t>Also, r</w:t>
      </w:r>
      <w:r w:rsidR="0001454E" w:rsidRPr="0001454E">
        <w:t xml:space="preserve">ecycled content </w:t>
      </w:r>
      <w:r>
        <w:t>could</w:t>
      </w:r>
      <w:r w:rsidR="0001454E" w:rsidRPr="0001454E">
        <w:t xml:space="preserve"> contain toxic heavy metals.  By incorporating extensive health and toxicity information with the certifications, Pharos would fill this critical information gap and provide a unique solution for this need.  </w:t>
      </w:r>
      <w:r w:rsidR="0001454E" w:rsidRPr="0001454E">
        <w:lastRenderedPageBreak/>
        <w:t>Pharos would provide this information and add extensive, verified data on the full spectrum of product healthfulness and toxicity attributes. Specifically,</w:t>
      </w:r>
    </w:p>
    <w:p w:rsidR="0001454E" w:rsidRPr="0001454E" w:rsidRDefault="0001454E" w:rsidP="0001454E">
      <w:pPr>
        <w:numPr>
          <w:ilvl w:val="0"/>
          <w:numId w:val="1"/>
        </w:numPr>
        <w:spacing w:after="200" w:line="480" w:lineRule="auto"/>
        <w:contextualSpacing/>
      </w:pPr>
      <w:r w:rsidRPr="0001454E">
        <w:t>Pharos would provide comprehensive evaluation of building product ingredients, based upon independently-verified information on the chemical and materials properties of the products.</w:t>
      </w:r>
    </w:p>
    <w:p w:rsidR="0001454E" w:rsidRPr="0001454E" w:rsidRDefault="0001454E" w:rsidP="0001454E">
      <w:pPr>
        <w:numPr>
          <w:ilvl w:val="0"/>
          <w:numId w:val="1"/>
        </w:numPr>
        <w:spacing w:after="200" w:line="480" w:lineRule="auto"/>
        <w:contextualSpacing/>
      </w:pPr>
      <w:r w:rsidRPr="0001454E">
        <w:t>Pharos would make it possible for building professionals to discriminate – by healthfulness and toxicity charact</w:t>
      </w:r>
      <w:r w:rsidR="004D5753">
        <w:t>eristics – among products that we</w:t>
      </w:r>
      <w:r w:rsidRPr="0001454E">
        <w:t xml:space="preserve">re certified and/or </w:t>
      </w:r>
      <w:proofErr w:type="spellStart"/>
      <w:r w:rsidRPr="0001454E">
        <w:t>LEED</w:t>
      </w:r>
      <w:proofErr w:type="spellEnd"/>
      <w:r w:rsidRPr="0001454E">
        <w:t xml:space="preserve"> qualified.</w:t>
      </w:r>
    </w:p>
    <w:p w:rsidR="0001454E" w:rsidRPr="0001454E" w:rsidRDefault="0001454E" w:rsidP="0001454E">
      <w:pPr>
        <w:numPr>
          <w:ilvl w:val="0"/>
          <w:numId w:val="1"/>
        </w:numPr>
        <w:spacing w:after="200" w:line="480" w:lineRule="auto"/>
        <w:contextualSpacing/>
      </w:pPr>
      <w:r w:rsidRPr="0001454E">
        <w:t>Pharos would integrate completely product toxicity and healthfulness criteria with all other key environmental criteria.</w:t>
      </w:r>
    </w:p>
    <w:p w:rsidR="0001454E" w:rsidRDefault="0001454E" w:rsidP="0001454E">
      <w:pPr>
        <w:spacing w:line="480" w:lineRule="auto"/>
      </w:pPr>
    </w:p>
    <w:p w:rsidR="004178CA" w:rsidRPr="00677627" w:rsidRDefault="00194E56" w:rsidP="0001454E">
      <w:pPr>
        <w:spacing w:line="480" w:lineRule="auto"/>
      </w:pPr>
      <w:r w:rsidRPr="00677627">
        <w:t>Market</w:t>
      </w:r>
      <w:r w:rsidR="00A50044" w:rsidRPr="00677627">
        <w:t xml:space="preserve"> Research</w:t>
      </w:r>
    </w:p>
    <w:p w:rsidR="0001454E" w:rsidRPr="0001454E" w:rsidRDefault="00BE3CF9" w:rsidP="0001454E">
      <w:pPr>
        <w:spacing w:line="480" w:lineRule="auto"/>
        <w:ind w:firstLine="720"/>
      </w:pPr>
      <w:r>
        <w:t xml:space="preserve">Bill and Larry </w:t>
      </w:r>
      <w:r w:rsidR="00194E56">
        <w:t xml:space="preserve">needed to answer two questions: would customers want </w:t>
      </w:r>
      <w:r w:rsidR="00C048AB">
        <w:t>Pharos</w:t>
      </w:r>
      <w:r w:rsidR="00194E56">
        <w:t xml:space="preserve"> and would they be willing to pay for it.  They </w:t>
      </w:r>
      <w:r>
        <w:t>started talking to potential users in 2009.  They found that n</w:t>
      </w:r>
      <w:r w:rsidR="0001454E" w:rsidRPr="0001454E">
        <w:t xml:space="preserve">ot only did the product have to provide relevant information, but the product also had to fit with the way the design </w:t>
      </w:r>
      <w:proofErr w:type="spellStart"/>
      <w:r w:rsidR="0001454E" w:rsidRPr="0001454E">
        <w:t>specifiers</w:t>
      </w:r>
      <w:proofErr w:type="spellEnd"/>
      <w:r w:rsidR="0001454E" w:rsidRPr="0001454E">
        <w:t xml:space="preserve"> worked.  The </w:t>
      </w:r>
      <w:proofErr w:type="spellStart"/>
      <w:r w:rsidR="0001454E" w:rsidRPr="0001454E">
        <w:t>AEC</w:t>
      </w:r>
      <w:proofErr w:type="spellEnd"/>
      <w:r w:rsidR="0001454E" w:rsidRPr="0001454E">
        <w:t xml:space="preserve"> community used tool suite</w:t>
      </w:r>
      <w:r>
        <w:t>s</w:t>
      </w:r>
      <w:r w:rsidR="0001454E" w:rsidRPr="0001454E">
        <w:t xml:space="preserve"> to create their architecture designs.  These included computer-aided design (CAD) and modeling tools.  Once they adopted a tool suite, they were very hesitant to switch.  Pharos, therefore, would have to </w:t>
      </w:r>
      <w:r w:rsidR="00C048AB">
        <w:t>be compatible</w:t>
      </w:r>
      <w:r w:rsidR="0001454E" w:rsidRPr="0001454E">
        <w:t xml:space="preserve"> with all the existing </w:t>
      </w:r>
      <w:r w:rsidR="004178CA">
        <w:t>tool suites</w:t>
      </w:r>
      <w:r>
        <w:t xml:space="preserve">.  </w:t>
      </w:r>
      <w:r w:rsidR="00132BD2">
        <w:t xml:space="preserve">Not all modeling tools used a common database protocol.  Therefore, </w:t>
      </w:r>
      <w:proofErr w:type="spellStart"/>
      <w:r w:rsidR="00132BD2">
        <w:t>HBN</w:t>
      </w:r>
      <w:proofErr w:type="spellEnd"/>
      <w:r w:rsidR="00132BD2">
        <w:t xml:space="preserve"> would have to convert the interfaces in Pharos to match the protocols in each design system.  </w:t>
      </w:r>
      <w:r w:rsidR="0001454E" w:rsidRPr="0001454E">
        <w:t xml:space="preserve">Bill talked about </w:t>
      </w:r>
      <w:r w:rsidR="00194E56">
        <w:t xml:space="preserve">what </w:t>
      </w:r>
      <w:r>
        <w:t>they learned from their discussions with customers</w:t>
      </w:r>
      <w:r w:rsidR="0001454E" w:rsidRPr="0001454E">
        <w:t>:</w:t>
      </w:r>
    </w:p>
    <w:p w:rsidR="0001454E" w:rsidRPr="0001454E" w:rsidRDefault="00BE3CF9" w:rsidP="0001454E">
      <w:pPr>
        <w:spacing w:line="480" w:lineRule="auto"/>
        <w:ind w:left="720"/>
      </w:pPr>
      <w:r>
        <w:t>I</w:t>
      </w:r>
      <w:r w:rsidR="0001454E" w:rsidRPr="0001454E">
        <w:t xml:space="preserve">t became increasingly clear that they required a number of specialized capabilities in order to fully adopt Pharos.  By “adoption” we mean using Pharos as the primary tool for green product specification and selection.  They could see - and often expressed great enthusiasm - that Pharos had the potential to </w:t>
      </w:r>
      <w:r>
        <w:t>be a useful product</w:t>
      </w:r>
      <w:r w:rsidR="0001454E" w:rsidRPr="0001454E">
        <w:t xml:space="preserve">.  But, in order to </w:t>
      </w:r>
      <w:r>
        <w:t>get there</w:t>
      </w:r>
      <w:r w:rsidR="0001454E" w:rsidRPr="0001454E">
        <w:t xml:space="preserve">, Pharos would need to </w:t>
      </w:r>
      <w:r w:rsidR="0001454E" w:rsidRPr="0001454E">
        <w:lastRenderedPageBreak/>
        <w:t>develop as more of a “firm-based” tool than as one geared toward individual users, and would need to rapidly fill out its database with a much wider selection of building products.  While a difficult reality, the message was, in fact, very promising for Pharos: “We really like it…now make it a product we can use every day.”</w:t>
      </w:r>
    </w:p>
    <w:p w:rsidR="0001454E" w:rsidRPr="0001454E" w:rsidRDefault="0001454E" w:rsidP="0001454E">
      <w:pPr>
        <w:spacing w:line="480" w:lineRule="auto"/>
      </w:pPr>
    </w:p>
    <w:p w:rsidR="0001454E" w:rsidRPr="0001454E" w:rsidRDefault="0001454E" w:rsidP="0001454E">
      <w:pPr>
        <w:spacing w:line="480" w:lineRule="auto"/>
        <w:ind w:firstLine="720"/>
      </w:pPr>
      <w:r w:rsidRPr="0001454E">
        <w:t>This experience significantly changed the team’s approach to the next phase of development, beginning in March 2010.</w:t>
      </w:r>
      <w:r w:rsidR="00692F5B">
        <w:t xml:space="preserve"> </w:t>
      </w:r>
      <w:r w:rsidRPr="0001454E">
        <w:t xml:space="preserve"> It became clear to the team that in order to achieve their transformation goals, they would need to intensify their focus on understanding and meeting the needs of </w:t>
      </w:r>
      <w:proofErr w:type="spellStart"/>
      <w:r w:rsidRPr="0001454E">
        <w:t>AEC</w:t>
      </w:r>
      <w:proofErr w:type="spellEnd"/>
      <w:r w:rsidRPr="0001454E">
        <w:t xml:space="preserve"> firms.  It also became apparent that a considerable amount of additional product </w:t>
      </w:r>
      <w:r w:rsidR="00753015">
        <w:t>tailoring</w:t>
      </w:r>
      <w:r w:rsidRPr="0001454E">
        <w:t xml:space="preserve"> would need to be undertaken in order to satisfy the needs of these demanding expert users.  The level of personal engagement required to sell and install a system was also substantial.  Finally, as </w:t>
      </w:r>
      <w:proofErr w:type="spellStart"/>
      <w:r w:rsidRPr="0001454E">
        <w:t>HBN</w:t>
      </w:r>
      <w:proofErr w:type="spellEnd"/>
      <w:r w:rsidRPr="0001454E">
        <w:t xml:space="preserve"> was gaining experience in working with</w:t>
      </w:r>
      <w:r w:rsidR="00EE08F5">
        <w:t xml:space="preserve"> building materials</w:t>
      </w:r>
      <w:r w:rsidRPr="0001454E">
        <w:t xml:space="preserve"> manufacturers to enter products into the Pharos database, they realized that, while there were increasing economies of scale as more products were entered, the level of effort required to build the database with the independent verification of each product would remain substantial on an ongoing basis.</w:t>
      </w:r>
    </w:p>
    <w:p w:rsidR="00BE3CF9" w:rsidRDefault="0001454E" w:rsidP="0001454E">
      <w:pPr>
        <w:spacing w:line="480" w:lineRule="auto"/>
        <w:ind w:firstLine="720"/>
      </w:pPr>
      <w:r w:rsidRPr="0001454E">
        <w:t xml:space="preserve">Up until this point, the Pharos Project had been totally underwritten by </w:t>
      </w:r>
      <w:proofErr w:type="spellStart"/>
      <w:r w:rsidRPr="0001454E">
        <w:t>HBN</w:t>
      </w:r>
      <w:proofErr w:type="spellEnd"/>
      <w:r w:rsidRPr="0001454E">
        <w:t xml:space="preserve">.  It was, in fact, </w:t>
      </w:r>
      <w:proofErr w:type="spellStart"/>
      <w:r w:rsidR="006D327A">
        <w:t>HBN’s</w:t>
      </w:r>
      <w:proofErr w:type="spellEnd"/>
      <w:r w:rsidRPr="0001454E">
        <w:t xml:space="preserve"> main activity since 2006.  The team evaluated what would be required to expand the existing </w:t>
      </w:r>
      <w:proofErr w:type="spellStart"/>
      <w:r w:rsidRPr="0001454E">
        <w:t>HBN</w:t>
      </w:r>
      <w:proofErr w:type="spellEnd"/>
      <w:r w:rsidRPr="0001454E">
        <w:t xml:space="preserve"> organization to support Pharos over the next 3-5 years.  While the early development of Pharos was achieved within the existing </w:t>
      </w:r>
      <w:proofErr w:type="spellStart"/>
      <w:r w:rsidRPr="0001454E">
        <w:t>HBN</w:t>
      </w:r>
      <w:proofErr w:type="spellEnd"/>
      <w:r w:rsidRPr="0001454E">
        <w:t xml:space="preserve"> organization, there were significant gaps in the capabilities that would have to be filled quickly.  </w:t>
      </w:r>
      <w:r w:rsidR="00394352" w:rsidRPr="0001454E">
        <w:t xml:space="preserve">The rate at which the existing staff </w:t>
      </w:r>
      <w:r w:rsidR="00394352">
        <w:t>could</w:t>
      </w:r>
      <w:r w:rsidR="00394352" w:rsidRPr="0001454E">
        <w:t xml:space="preserve"> enter products into the Pharos database was inadequate to support what users needed to adopt Pharos as their everyday building product specification tool.  </w:t>
      </w:r>
      <w:r w:rsidRPr="0001454E">
        <w:t xml:space="preserve">The most pressing </w:t>
      </w:r>
      <w:r w:rsidR="00394352">
        <w:t xml:space="preserve">future needs, however, </w:t>
      </w:r>
      <w:r w:rsidRPr="0001454E">
        <w:t xml:space="preserve">were sales, marketing and user support.  There was </w:t>
      </w:r>
      <w:r w:rsidR="004A0BC7">
        <w:t>little</w:t>
      </w:r>
      <w:r w:rsidRPr="0001454E">
        <w:t xml:space="preserve"> funding in the existing </w:t>
      </w:r>
      <w:proofErr w:type="spellStart"/>
      <w:r w:rsidRPr="0001454E">
        <w:t>HBN</w:t>
      </w:r>
      <w:proofErr w:type="spellEnd"/>
      <w:r w:rsidRPr="0001454E">
        <w:t xml:space="preserve"> budget for a marketing and sales campaign.  </w:t>
      </w:r>
    </w:p>
    <w:p w:rsidR="00194E56" w:rsidRPr="0001454E" w:rsidRDefault="00194E56" w:rsidP="00194E56">
      <w:pPr>
        <w:spacing w:line="480" w:lineRule="auto"/>
        <w:ind w:firstLine="720"/>
      </w:pPr>
      <w:r>
        <w:lastRenderedPageBreak/>
        <w:t>As to the</w:t>
      </w:r>
      <w:r w:rsidRPr="0001454E">
        <w:t xml:space="preserve"> question </w:t>
      </w:r>
      <w:r>
        <w:t>of</w:t>
      </w:r>
      <w:r w:rsidRPr="0001454E">
        <w:t xml:space="preserve"> whether they could get potential customers to pay for the data generated by Pharos</w:t>
      </w:r>
      <w:r>
        <w:t>,</w:t>
      </w:r>
      <w:r w:rsidRPr="0001454E">
        <w:t xml:space="preserve"> Bill stated:</w:t>
      </w:r>
    </w:p>
    <w:p w:rsidR="00194E56" w:rsidRPr="0001454E" w:rsidRDefault="00194E56" w:rsidP="00CB118D">
      <w:pPr>
        <w:spacing w:line="480" w:lineRule="auto"/>
        <w:ind w:left="720"/>
      </w:pPr>
      <w:r>
        <w:rPr>
          <w:iCs/>
        </w:rPr>
        <w:t xml:space="preserve">Although no one out there can provide what we do, there are some other choices for customers.  </w:t>
      </w:r>
      <w:r w:rsidR="00CB118D">
        <w:t>Our competitors appear</w:t>
      </w:r>
      <w:r w:rsidRPr="0001454E">
        <w:t xml:space="preserve"> to be mostly self-funded, whether for-profit or not-for-profit.  There </w:t>
      </w:r>
      <w:r w:rsidR="00CB118D">
        <w:t>is</w:t>
      </w:r>
      <w:r w:rsidRPr="0001454E">
        <w:t xml:space="preserve"> a distinction between the dire</w:t>
      </w:r>
      <w:r w:rsidR="00CB118D">
        <w:t>ctories that list</w:t>
      </w:r>
      <w:r w:rsidRPr="0001454E">
        <w:t xml:space="preserve"> primarily manufacturer-provided data and those that ha</w:t>
      </w:r>
      <w:r w:rsidR="00CB118D">
        <w:t>ve</w:t>
      </w:r>
      <w:r w:rsidRPr="0001454E">
        <w:t xml:space="preserve"> their own content generation and verification resources and provide analytical tool</w:t>
      </w:r>
      <w:r w:rsidR="00CB118D">
        <w:t>s like us.  The latter generally charge</w:t>
      </w:r>
      <w:r w:rsidRPr="0001454E">
        <w:t xml:space="preserve"> user fees.  Both groups sometimes charge the building product manufacturers fees for listing their products, and almost always d</w:t>
      </w:r>
      <w:r w:rsidR="00CB118D">
        <w:t>o</w:t>
      </w:r>
      <w:r w:rsidRPr="0001454E">
        <w:t xml:space="preserve"> so for other than a basic listing.  However, there </w:t>
      </w:r>
      <w:r w:rsidR="00CB118D">
        <w:t>are</w:t>
      </w:r>
      <w:r w:rsidRPr="0001454E">
        <w:t xml:space="preserve"> several directories that </w:t>
      </w:r>
      <w:r w:rsidR="00CB118D">
        <w:t>are</w:t>
      </w:r>
      <w:r w:rsidRPr="0001454E">
        <w:t xml:space="preserve"> available completely for free, without evidence of a paid link to manufacturers or advertising.  Those </w:t>
      </w:r>
      <w:r w:rsidR="00EF5C96">
        <w:t xml:space="preserve">free sites </w:t>
      </w:r>
      <w:r w:rsidRPr="0001454E">
        <w:t xml:space="preserve">investigated by </w:t>
      </w:r>
      <w:r w:rsidR="00CB118D">
        <w:t>us</w:t>
      </w:r>
      <w:r w:rsidRPr="0001454E">
        <w:t xml:space="preserve"> appear to have a limited focus on a specific set of products or geographic area.</w:t>
      </w:r>
    </w:p>
    <w:p w:rsidR="00194E56" w:rsidRDefault="00194E56" w:rsidP="0001454E">
      <w:pPr>
        <w:spacing w:line="480" w:lineRule="auto"/>
        <w:ind w:firstLine="720"/>
      </w:pPr>
    </w:p>
    <w:p w:rsidR="00BE3CF9" w:rsidRPr="00677627" w:rsidRDefault="00A50044" w:rsidP="00677627">
      <w:pPr>
        <w:spacing w:line="480" w:lineRule="auto"/>
        <w:jc w:val="center"/>
      </w:pPr>
      <w:r w:rsidRPr="00677627">
        <w:t>Staying as a Nonprofit</w:t>
      </w:r>
    </w:p>
    <w:p w:rsidR="003D2D54" w:rsidRDefault="00D87582" w:rsidP="003D2D54">
      <w:pPr>
        <w:spacing w:line="480" w:lineRule="auto"/>
        <w:ind w:firstLine="720"/>
      </w:pPr>
      <w:r>
        <w:t>Bill realized that he would have to change the organization to meet the resource needs to bring Pharos to the market.  The two options he was considering w</w:t>
      </w:r>
      <w:r w:rsidR="00BD5027">
        <w:t>ere</w:t>
      </w:r>
      <w:r>
        <w:t xml:space="preserve"> staying as a nonprofit or transitioning to a B-Corp.  A</w:t>
      </w:r>
      <w:r w:rsidRPr="0001454E">
        <w:t xml:space="preserve"> reason Bill had doubts about using </w:t>
      </w:r>
      <w:proofErr w:type="spellStart"/>
      <w:r w:rsidRPr="0001454E">
        <w:t>HBN</w:t>
      </w:r>
      <w:proofErr w:type="spellEnd"/>
      <w:r w:rsidRPr="0001454E">
        <w:t xml:space="preserve"> to grow Pharos was the governance structure he had put into place.  Bill commented, “My governance structure is coming back to haunt me.”</w:t>
      </w:r>
      <w:r>
        <w:t xml:space="preserve">  Bill mostly relied on one donor to provide the bulk of </w:t>
      </w:r>
      <w:proofErr w:type="spellStart"/>
      <w:r>
        <w:t>HBN’s</w:t>
      </w:r>
      <w:proofErr w:type="spellEnd"/>
      <w:r>
        <w:t xml:space="preserve"> revenues.  He was able to supplement that money with grants and smaller donations from others to generate revenue each year of between $750,000 and $1 million.  </w:t>
      </w:r>
      <w:r w:rsidR="003D2D54">
        <w:t xml:space="preserve">Bill, therefore, did not have to exert the normal amount of effort into fundraising that a typical nonprofit would.  </w:t>
      </w:r>
      <w:proofErr w:type="spellStart"/>
      <w:r w:rsidR="003D2D54">
        <w:t>HBN</w:t>
      </w:r>
      <w:proofErr w:type="spellEnd"/>
      <w:r w:rsidR="003D2D54">
        <w:t xml:space="preserve"> did not, in fact, have a full-time development person on staff.  This reliance on one main donor also allowed Bill to keep a small nonvoting board as opposed to the typical large nonprofit board.</w:t>
      </w:r>
    </w:p>
    <w:p w:rsidR="003D2D54" w:rsidRPr="0001454E" w:rsidRDefault="00D87582" w:rsidP="003D2D54">
      <w:pPr>
        <w:spacing w:line="480" w:lineRule="auto"/>
        <w:ind w:firstLine="720"/>
      </w:pPr>
      <w:r>
        <w:lastRenderedPageBreak/>
        <w:t xml:space="preserve">The bulk of </w:t>
      </w:r>
      <w:proofErr w:type="spellStart"/>
      <w:r>
        <w:t>HBN’s</w:t>
      </w:r>
      <w:proofErr w:type="spellEnd"/>
      <w:r>
        <w:t xml:space="preserve"> money was put into funding Pharos, with a 2010 anticipated budget of $600,000 for Pharos.  </w:t>
      </w:r>
      <w:r w:rsidR="003D2D54" w:rsidRPr="0001454E">
        <w:t xml:space="preserve">The learning from the </w:t>
      </w:r>
      <w:r w:rsidR="003D2D54">
        <w:t>initial discussions with potential customers</w:t>
      </w:r>
      <w:r w:rsidR="003D2D54" w:rsidRPr="0001454E">
        <w:t xml:space="preserve"> of Pharos was that it was unlikely that us</w:t>
      </w:r>
      <w:r w:rsidR="006D327A">
        <w:t>er</w:t>
      </w:r>
      <w:r w:rsidR="003D2D54" w:rsidRPr="0001454E">
        <w:t xml:space="preserve"> fees for Pharos would be able to make a significant financial contribution before several more years of development had taken place.  Bill talked about the funding challenge:</w:t>
      </w:r>
    </w:p>
    <w:p w:rsidR="003D2D54" w:rsidRPr="0001454E" w:rsidRDefault="003D2D54" w:rsidP="003D2D54">
      <w:pPr>
        <w:spacing w:line="480" w:lineRule="auto"/>
        <w:ind w:left="720"/>
      </w:pPr>
      <w:r w:rsidRPr="0001454E">
        <w:t xml:space="preserve">We determined in discussions with existing </w:t>
      </w:r>
      <w:r w:rsidR="00E14027">
        <w:t xml:space="preserve">funders </w:t>
      </w:r>
      <w:r w:rsidRPr="0001454E">
        <w:t xml:space="preserve">that </w:t>
      </w:r>
      <w:r w:rsidR="004A0BC7">
        <w:t>they were not going to increase their levels of funding for Pharos</w:t>
      </w:r>
      <w:r w:rsidRPr="0001454E">
        <w:t>.  We ha</w:t>
      </w:r>
      <w:r w:rsidR="00E14027">
        <w:t>ve</w:t>
      </w:r>
      <w:r w:rsidRPr="0001454E">
        <w:t xml:space="preserve"> significant concern about funding if </w:t>
      </w:r>
      <w:proofErr w:type="spellStart"/>
      <w:r w:rsidRPr="0001454E">
        <w:t>HBN</w:t>
      </w:r>
      <w:proofErr w:type="spellEnd"/>
      <w:r w:rsidRPr="0001454E">
        <w:t xml:space="preserve"> is not able to develop a plan to expand funding sources for Pharos.  </w:t>
      </w:r>
    </w:p>
    <w:p w:rsidR="00D87582" w:rsidRPr="0001454E" w:rsidRDefault="00D87582" w:rsidP="00D87582">
      <w:pPr>
        <w:spacing w:line="480" w:lineRule="auto"/>
        <w:ind w:firstLine="720"/>
      </w:pPr>
    </w:p>
    <w:p w:rsidR="00D87582" w:rsidRDefault="003D2D54" w:rsidP="0001454E">
      <w:pPr>
        <w:spacing w:line="480" w:lineRule="auto"/>
        <w:ind w:firstLine="720"/>
      </w:pPr>
      <w:r>
        <w:t>Bill hired a consultant to run some numbers o</w:t>
      </w:r>
      <w:r w:rsidR="00E14027">
        <w:t>n</w:t>
      </w:r>
      <w:r>
        <w:t xml:space="preserve"> what </w:t>
      </w:r>
      <w:proofErr w:type="spellStart"/>
      <w:r>
        <w:t>HBN</w:t>
      </w:r>
      <w:proofErr w:type="spellEnd"/>
      <w:r>
        <w:t xml:space="preserve"> could expect if they continued to fund the Pharos project at its current levels.  </w:t>
      </w:r>
      <w:r w:rsidR="00BD5027">
        <w:t xml:space="preserve">(See exhibit 2.)  </w:t>
      </w:r>
      <w:r w:rsidR="00736D03">
        <w:t xml:space="preserve">The assumption was that current employees would continue to work part-time on Pharos in addition to their policy advocacy work.  </w:t>
      </w:r>
      <w:r>
        <w:t xml:space="preserve">The expectation was that Pharos would only be able to generate $500,000 in user fees in </w:t>
      </w:r>
      <w:r w:rsidR="008A1B48">
        <w:t>201</w:t>
      </w:r>
      <w:r>
        <w:t>5 if they did not have a quicker ramp</w:t>
      </w:r>
      <w:r w:rsidR="00E2326C">
        <w:t xml:space="preserve"> up</w:t>
      </w:r>
      <w:r>
        <w:t xml:space="preserve"> in R&amp;D and marketing resources.</w:t>
      </w:r>
      <w:r w:rsidR="008A1B48">
        <w:t xml:space="preserve">  To remedy this, Bill would have to put much more effort into fund raising, change the structure of his board, and start to build and manage an organization.  </w:t>
      </w:r>
    </w:p>
    <w:p w:rsidR="00EF5C96" w:rsidRDefault="00EF5C96" w:rsidP="0001454E">
      <w:pPr>
        <w:spacing w:line="480" w:lineRule="auto"/>
        <w:rPr>
          <w:u w:val="single"/>
        </w:rPr>
      </w:pPr>
    </w:p>
    <w:p w:rsidR="0001454E" w:rsidRPr="00677627" w:rsidRDefault="008A1B48" w:rsidP="00677627">
      <w:pPr>
        <w:spacing w:line="480" w:lineRule="auto"/>
        <w:jc w:val="center"/>
      </w:pPr>
      <w:r w:rsidRPr="00677627">
        <w:t>Possible Transition to a Benefit Corporation</w:t>
      </w:r>
    </w:p>
    <w:p w:rsidR="0001454E" w:rsidRDefault="0001454E" w:rsidP="00E32A0B">
      <w:pPr>
        <w:spacing w:line="480" w:lineRule="auto"/>
        <w:ind w:firstLine="720"/>
      </w:pPr>
      <w:r w:rsidRPr="0001454E">
        <w:t>If Bill believed that Pharos would eventually become self-sustaining</w:t>
      </w:r>
      <w:r w:rsidR="008A1B48">
        <w:t xml:space="preserve"> from fees</w:t>
      </w:r>
      <w:r w:rsidRPr="0001454E">
        <w:t xml:space="preserve">, even if it took a couple of years to achieve, then he had </w:t>
      </w:r>
      <w:r w:rsidR="008A1B48">
        <w:t>another option</w:t>
      </w:r>
      <w:r w:rsidRPr="0001454E">
        <w:t xml:space="preserve"> in being able to raise the needed money to fund Pharos’ further development.  </w:t>
      </w:r>
      <w:r w:rsidR="008A1B48">
        <w:t>It</w:t>
      </w:r>
      <w:r w:rsidRPr="0001454E">
        <w:t xml:space="preserve"> was to become a Benefit Corporation, or B-Corp, and to raise money from a new </w:t>
      </w:r>
      <w:r w:rsidR="00C048AB">
        <w:t>group:</w:t>
      </w:r>
      <w:r w:rsidR="00C048AB" w:rsidRPr="0001454E">
        <w:t xml:space="preserve"> </w:t>
      </w:r>
      <w:r w:rsidR="00E14027">
        <w:t>socially responsible</w:t>
      </w:r>
      <w:r w:rsidRPr="0001454E">
        <w:t xml:space="preserve"> investors.  </w:t>
      </w:r>
      <w:r w:rsidR="00E14027">
        <w:t>Socially responsible</w:t>
      </w:r>
      <w:r w:rsidRPr="0001454E">
        <w:t xml:space="preserve"> investors invested in companies that addressed social and environmental problems.  They still sough</w:t>
      </w:r>
      <w:r w:rsidR="005F3388">
        <w:t>t a return on their investments</w:t>
      </w:r>
      <w:r w:rsidRPr="0001454E">
        <w:t xml:space="preserve"> but were more patient than traditional investors.  </w:t>
      </w:r>
      <w:r w:rsidR="00E32A0B" w:rsidRPr="00E32A0B">
        <w:t>The socially responsible investing (SRI) movement ha</w:t>
      </w:r>
      <w:r w:rsidR="00E32A0B">
        <w:t>d</w:t>
      </w:r>
      <w:r w:rsidR="00E32A0B" w:rsidRPr="00E32A0B">
        <w:t xml:space="preserve"> grown over the past 30 years to represent nearly 10% of U.S. assets under management, or roughly $2.3 </w:t>
      </w:r>
      <w:r w:rsidR="00E32A0B" w:rsidRPr="00E32A0B">
        <w:lastRenderedPageBreak/>
        <w:t>trillion in 2010.  SRI ha</w:t>
      </w:r>
      <w:r w:rsidR="00E32A0B">
        <w:t xml:space="preserve">d </w:t>
      </w:r>
      <w:r w:rsidR="00E32A0B" w:rsidRPr="00E32A0B">
        <w:t>evolved in both public and private markets, giving rise to a distinct venture capital industry of funds and individual investors seeking values-aligned investment opportunities.</w:t>
      </w:r>
    </w:p>
    <w:p w:rsidR="00E32A0B" w:rsidRPr="00E32A0B" w:rsidRDefault="00E32A0B" w:rsidP="00E32A0B">
      <w:pPr>
        <w:spacing w:line="480" w:lineRule="auto"/>
        <w:ind w:firstLine="720"/>
      </w:pPr>
      <w:r>
        <w:t>In order to support SRI investors, in 2007</w:t>
      </w:r>
      <w:r w:rsidRPr="00E32A0B">
        <w:t xml:space="preserve"> B Lab, a 501(c</w:t>
      </w:r>
      <w:proofErr w:type="gramStart"/>
      <w:r w:rsidRPr="00E32A0B">
        <w:t>)</w:t>
      </w:r>
      <w:r w:rsidR="00E14027">
        <w:t>(</w:t>
      </w:r>
      <w:proofErr w:type="gramEnd"/>
      <w:r w:rsidRPr="00E32A0B">
        <w:t>3</w:t>
      </w:r>
      <w:r w:rsidR="00E14027">
        <w:t>)</w:t>
      </w:r>
      <w:r w:rsidRPr="00E32A0B">
        <w:t xml:space="preserve"> </w:t>
      </w:r>
      <w:r>
        <w:t>non</w:t>
      </w:r>
      <w:r w:rsidRPr="00E32A0B">
        <w:t xml:space="preserve">profit organization, initiated a certification system for companies interested in distinguishing themselves </w:t>
      </w:r>
      <w:r>
        <w:t>as really being socially responsible</w:t>
      </w:r>
      <w:r w:rsidRPr="00E32A0B">
        <w:t>.</w:t>
      </w:r>
      <w:r>
        <w:t xml:space="preserve"> </w:t>
      </w:r>
      <w:r w:rsidRPr="00E32A0B">
        <w:t xml:space="preserve"> B Lab developed a set of transparent, comprehensive and comparable standards designed to enable the marketplace to identif</w:t>
      </w:r>
      <w:r>
        <w:t>y and support companies that me</w:t>
      </w:r>
      <w:r w:rsidRPr="00E32A0B">
        <w:t>t rigorous third-party standards for social and environmental performance.</w:t>
      </w:r>
      <w:r>
        <w:t xml:space="preserve">  These companies, however, still faced a possible legal risk, which led to the development of Benefit Corporations.</w:t>
      </w:r>
    </w:p>
    <w:p w:rsidR="00D668C1" w:rsidRDefault="0001454E" w:rsidP="0001454E">
      <w:pPr>
        <w:spacing w:line="480" w:lineRule="auto"/>
        <w:ind w:firstLine="720"/>
      </w:pPr>
      <w:r w:rsidRPr="0001454E">
        <w:t xml:space="preserve">A Benefit Corporation was a for-profit corporate entity that differed from a regular corporation in that it also had an obligation to create a positive impact on society or the environment.  In a regular corporation, the </w:t>
      </w:r>
      <w:r w:rsidR="00D668C1" w:rsidRPr="0001454E">
        <w:t>board of directors had a fiduciary responsibility to maximize financial gains for shareholders</w:t>
      </w:r>
      <w:r w:rsidR="00D668C1">
        <w:t xml:space="preserve"> and was subject to </w:t>
      </w:r>
      <w:r w:rsidR="00D668C1" w:rsidRPr="00D668C1">
        <w:t>shareholder suits</w:t>
      </w:r>
      <w:r w:rsidR="00D668C1">
        <w:t xml:space="preserve"> if it did not</w:t>
      </w:r>
      <w:r w:rsidR="00D668C1" w:rsidRPr="00D668C1">
        <w:t>, as corporate law require</w:t>
      </w:r>
      <w:r w:rsidR="00D668C1">
        <w:t>d</w:t>
      </w:r>
      <w:r w:rsidRPr="0001454E">
        <w:t xml:space="preserve">.  </w:t>
      </w:r>
      <w:r w:rsidR="00D668C1">
        <w:t>There were three major provisions in Benefit C</w:t>
      </w:r>
      <w:r w:rsidR="00D668C1" w:rsidRPr="00D668C1">
        <w:t>orporation legislation.</w:t>
      </w:r>
      <w:r w:rsidR="00572E6A">
        <w:rPr>
          <w:rStyle w:val="FootnoteReference"/>
        </w:rPr>
        <w:footnoteReference w:id="5"/>
      </w:r>
      <w:r w:rsidR="00D668C1" w:rsidRPr="00D668C1">
        <w:t xml:space="preserve">  These provisions address</w:t>
      </w:r>
      <w:r w:rsidR="00D668C1">
        <w:t>ed</w:t>
      </w:r>
      <w:r w:rsidR="00D668C1" w:rsidRPr="00D668C1">
        <w:t xml:space="preserve"> corporate purpose, accountability and transparency, and state</w:t>
      </w:r>
      <w:r w:rsidR="00D668C1">
        <w:t>d</w:t>
      </w:r>
      <w:r w:rsidR="00D668C1" w:rsidRPr="00D668C1">
        <w:t xml:space="preserve"> that a </w:t>
      </w:r>
      <w:r w:rsidR="00435633">
        <w:t>B</w:t>
      </w:r>
      <w:r w:rsidR="00D668C1" w:rsidRPr="00D668C1">
        <w:t xml:space="preserve">enefit </w:t>
      </w:r>
      <w:r w:rsidR="00435633">
        <w:t>C</w:t>
      </w:r>
      <w:r w:rsidR="00D668C1" w:rsidRPr="00D668C1">
        <w:t>orporation ha</w:t>
      </w:r>
      <w:r w:rsidR="00D668C1">
        <w:t>d</w:t>
      </w:r>
      <w:r w:rsidR="00D668C1" w:rsidRPr="00D668C1">
        <w:t>:</w:t>
      </w:r>
    </w:p>
    <w:p w:rsidR="00D668C1" w:rsidRDefault="00D668C1" w:rsidP="00D668C1">
      <w:pPr>
        <w:pStyle w:val="ListParagraph"/>
        <w:numPr>
          <w:ilvl w:val="0"/>
          <w:numId w:val="3"/>
        </w:numPr>
        <w:spacing w:line="480" w:lineRule="auto"/>
      </w:pPr>
      <w:r w:rsidRPr="00D668C1">
        <w:t xml:space="preserve">a corporate purpose to create a material positive impact on society and the environment; </w:t>
      </w:r>
    </w:p>
    <w:p w:rsidR="00D668C1" w:rsidRDefault="00D668C1" w:rsidP="00D668C1">
      <w:pPr>
        <w:pStyle w:val="ListParagraph"/>
        <w:numPr>
          <w:ilvl w:val="0"/>
          <w:numId w:val="3"/>
        </w:numPr>
        <w:spacing w:line="480" w:lineRule="auto"/>
      </w:pPr>
      <w:r w:rsidRPr="00D668C1">
        <w:t>expanded fiduciary duties of directors</w:t>
      </w:r>
      <w:r>
        <w:t>,</w:t>
      </w:r>
      <w:r w:rsidRPr="00D668C1">
        <w:t xml:space="preserve"> which require consideration of non-financial interests; </w:t>
      </w:r>
    </w:p>
    <w:p w:rsidR="00D668C1" w:rsidRDefault="00D668C1" w:rsidP="00D668C1">
      <w:pPr>
        <w:pStyle w:val="ListParagraph"/>
        <w:numPr>
          <w:ilvl w:val="0"/>
          <w:numId w:val="3"/>
        </w:numPr>
        <w:spacing w:line="480" w:lineRule="auto"/>
      </w:pPr>
      <w:proofErr w:type="gramStart"/>
      <w:r w:rsidRPr="00D668C1">
        <w:t>an</w:t>
      </w:r>
      <w:proofErr w:type="gramEnd"/>
      <w:r w:rsidRPr="00D668C1">
        <w:t xml:space="preserve"> obligation to report on its overall social and environmental performance as assessed against a comprehensive, credible, independent and transparent third-party standard.</w:t>
      </w:r>
    </w:p>
    <w:p w:rsidR="0001454E" w:rsidRPr="0001454E" w:rsidRDefault="0001454E" w:rsidP="00D668C1">
      <w:pPr>
        <w:spacing w:line="480" w:lineRule="auto"/>
      </w:pPr>
      <w:r w:rsidRPr="0001454E">
        <w:t xml:space="preserve">This would protect a mission-driven company, one that wanted to do “good” in addition to doing “well.”  </w:t>
      </w:r>
    </w:p>
    <w:p w:rsidR="0001454E" w:rsidRPr="0001454E" w:rsidRDefault="008A1B48" w:rsidP="0001454E">
      <w:pPr>
        <w:spacing w:line="480" w:lineRule="auto"/>
        <w:ind w:firstLine="720"/>
      </w:pPr>
      <w:r>
        <w:t>Although talked about</w:t>
      </w:r>
      <w:r w:rsidR="00E32A0B">
        <w:t xml:space="preserve"> nationally</w:t>
      </w:r>
      <w:r>
        <w:t xml:space="preserve"> for several years, Maryland had become the first state in the US to legalize B-Corps in 2010.</w:t>
      </w:r>
      <w:r w:rsidR="0001454E" w:rsidRPr="0001454E">
        <w:t xml:space="preserve">  </w:t>
      </w:r>
      <w:proofErr w:type="spellStart"/>
      <w:r w:rsidR="00E32A0B">
        <w:t>HBN</w:t>
      </w:r>
      <w:proofErr w:type="spellEnd"/>
      <w:r w:rsidR="00E32A0B">
        <w:t xml:space="preserve">, therefore, would not have to move far to become a B-Corp.  </w:t>
      </w:r>
      <w:r w:rsidR="0001454E" w:rsidRPr="0001454E">
        <w:lastRenderedPageBreak/>
        <w:t>Although Bill found the concept of a B-Corp interesting, and there seemed a gro</w:t>
      </w:r>
      <w:r>
        <w:t>undswell of companies wanting to</w:t>
      </w:r>
      <w:r w:rsidR="0001454E" w:rsidRPr="0001454E">
        <w:t xml:space="preserve"> operat</w:t>
      </w:r>
      <w:r w:rsidR="00E32A0B">
        <w:t>e</w:t>
      </w:r>
      <w:r w:rsidR="0001454E" w:rsidRPr="0001454E">
        <w:t xml:space="preserve"> under this structure, he was not sure of the concept as the laws allowing B-Corps were still evolving.  His lawyer instincts </w:t>
      </w:r>
      <w:r w:rsidR="00C048AB">
        <w:t>made him skeptical</w:t>
      </w:r>
      <w:r w:rsidR="0001454E" w:rsidRPr="0001454E">
        <w:t xml:space="preserve">. </w:t>
      </w:r>
      <w:r w:rsidR="00692F5B">
        <w:t xml:space="preserve"> </w:t>
      </w:r>
      <w:r w:rsidR="0001454E" w:rsidRPr="0001454E">
        <w:t xml:space="preserve">Also, Bill was still not convinced he wanted to raise money from investors and to be managed by a voting board of directors.  </w:t>
      </w:r>
      <w:r w:rsidR="00E32A0B">
        <w:t xml:space="preserve">What was most challenging to Bill was what </w:t>
      </w:r>
      <w:r w:rsidR="00E32A0B" w:rsidRPr="00E32A0B">
        <w:t>Jay</w:t>
      </w:r>
      <w:r w:rsidR="00282FE8">
        <w:t xml:space="preserve"> </w:t>
      </w:r>
      <w:proofErr w:type="spellStart"/>
      <w:r w:rsidR="00282FE8">
        <w:t>Coen</w:t>
      </w:r>
      <w:proofErr w:type="spellEnd"/>
      <w:r w:rsidR="00282FE8">
        <w:t xml:space="preserve"> Gilbert, the founder of B </w:t>
      </w:r>
      <w:r w:rsidR="00E32A0B" w:rsidRPr="00E32A0B">
        <w:t>Lab</w:t>
      </w:r>
      <w:r w:rsidR="00BF6CB1">
        <w:t>,</w:t>
      </w:r>
      <w:r w:rsidR="00E32A0B" w:rsidRPr="00E32A0B">
        <w:t xml:space="preserve"> like</w:t>
      </w:r>
      <w:r w:rsidR="00E32A0B">
        <w:t>d</w:t>
      </w:r>
      <w:r w:rsidR="00E32A0B" w:rsidRPr="00E32A0B">
        <w:t xml:space="preserve"> to say, “The first rule of sustainability is you have to be alive.  You have to build the business.”  So if Bill were to take this route, he would have to act like a growth venture entrepreneur.  </w:t>
      </w:r>
    </w:p>
    <w:p w:rsidR="0001454E" w:rsidRPr="0001454E" w:rsidRDefault="0001454E" w:rsidP="0001454E">
      <w:pPr>
        <w:spacing w:line="480" w:lineRule="auto"/>
        <w:rPr>
          <w:u w:val="single"/>
        </w:rPr>
      </w:pPr>
    </w:p>
    <w:p w:rsidR="0001454E" w:rsidRPr="00677627" w:rsidRDefault="0001454E" w:rsidP="00677627">
      <w:pPr>
        <w:spacing w:after="200" w:line="480" w:lineRule="auto"/>
        <w:jc w:val="center"/>
      </w:pPr>
      <w:r w:rsidRPr="00677627">
        <w:t>Conclusion</w:t>
      </w:r>
    </w:p>
    <w:p w:rsidR="0001454E" w:rsidRPr="0001454E" w:rsidRDefault="0001454E" w:rsidP="0001454E">
      <w:pPr>
        <w:spacing w:after="200" w:line="480" w:lineRule="auto"/>
        <w:ind w:firstLine="720"/>
      </w:pPr>
      <w:r w:rsidRPr="0001454E">
        <w:t xml:space="preserve">Bill was faced with at least three options.  He could create a B-Corp to raise money from investors in order to more quickly scale the Pharos Project.  He already had an encouraging overture from one </w:t>
      </w:r>
      <w:r w:rsidR="00BA6D5C">
        <w:t xml:space="preserve">SRI </w:t>
      </w:r>
      <w:r w:rsidRPr="0001454E">
        <w:t xml:space="preserve">investor who seemed empathetic to Bill’s vision and mission.  Though there were many upsides, a crucial downside was that an outside investor, no matter how empathetic, would mean a significant change in the autonomous decision making that Bill had enjoyed. </w:t>
      </w:r>
      <w:r w:rsidR="00BA6D5C">
        <w:t xml:space="preserve"> </w:t>
      </w:r>
      <w:r w:rsidRPr="0001454E">
        <w:t xml:space="preserve">Fundamentally, Bill wondered whether he was the right person to run such a company.  </w:t>
      </w:r>
      <w:r w:rsidR="0055051B">
        <w:t xml:space="preserve">The second option was to put his </w:t>
      </w:r>
      <w:r w:rsidR="0051319A">
        <w:t>nonprofit</w:t>
      </w:r>
      <w:r w:rsidR="0055051B">
        <w:t xml:space="preserve"> on a new growth trajectory by more proactively </w:t>
      </w:r>
      <w:r w:rsidR="0051319A">
        <w:t>seeking</w:t>
      </w:r>
      <w:r w:rsidR="0055051B">
        <w:t xml:space="preserve"> out funding so </w:t>
      </w:r>
      <w:r w:rsidR="0051319A">
        <w:t>that</w:t>
      </w:r>
      <w:r w:rsidR="0055051B">
        <w:t xml:space="preserve"> he could build the organization.  </w:t>
      </w:r>
      <w:r w:rsidRPr="0001454E">
        <w:t xml:space="preserve">The third option was to stay as is and continue to subsidize Pharos from </w:t>
      </w:r>
      <w:proofErr w:type="spellStart"/>
      <w:r w:rsidRPr="0001454E">
        <w:t>HBN’s</w:t>
      </w:r>
      <w:proofErr w:type="spellEnd"/>
      <w:r w:rsidRPr="0001454E">
        <w:t xml:space="preserve"> general fund.  Bill’s best forecast was that Pharos would become more self-sustaining with time.  The downside was whether this approach would create as big of an impact as the other two.  Bill had a tough decision as he summed up his feelings, “I have spent my career trying to improve the environment.  It has been my passion.  Pharos, I believe, is the right approach to make a big difference.  How do I make the biggest impact with Pharos while still taking advantage of my capabilities?”</w:t>
      </w:r>
    </w:p>
    <w:p w:rsidR="0001454E" w:rsidRPr="0001454E" w:rsidRDefault="0001454E" w:rsidP="0001454E">
      <w:pPr>
        <w:spacing w:after="200" w:line="480" w:lineRule="auto"/>
        <w:ind w:firstLine="720"/>
      </w:pPr>
    </w:p>
    <w:p w:rsidR="001053D7" w:rsidRDefault="001053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053D7" w:rsidRPr="001053D7" w:rsidTr="001053D7">
        <w:tc>
          <w:tcPr>
            <w:tcW w:w="4788" w:type="dxa"/>
            <w:shd w:val="clear" w:color="auto" w:fill="auto"/>
          </w:tcPr>
          <w:p w:rsidR="001053D7" w:rsidRPr="001053D7" w:rsidRDefault="001053D7" w:rsidP="001053D7">
            <w:pPr>
              <w:rPr>
                <w:rFonts w:ascii="Times New Roman" w:hAnsi="Times New Roman" w:cs="Times New Roman"/>
                <w:b/>
                <w:u w:val="single"/>
              </w:rPr>
            </w:pPr>
            <w:r w:rsidRPr="001053D7">
              <w:rPr>
                <w:rFonts w:ascii="Times New Roman" w:hAnsi="Times New Roman" w:cs="Times New Roman"/>
                <w:b/>
                <w:u w:val="single"/>
              </w:rPr>
              <w:t>General Directories</w:t>
            </w:r>
          </w:p>
        </w:tc>
        <w:tc>
          <w:tcPr>
            <w:tcW w:w="4788" w:type="dxa"/>
            <w:shd w:val="clear" w:color="auto" w:fill="auto"/>
          </w:tcPr>
          <w:p w:rsidR="001053D7" w:rsidRPr="001053D7" w:rsidRDefault="001053D7" w:rsidP="001053D7">
            <w:pPr>
              <w:rPr>
                <w:rFonts w:ascii="Times New Roman" w:hAnsi="Times New Roman" w:cs="Times New Roman"/>
                <w:b/>
                <w:u w:val="single"/>
              </w:rPr>
            </w:pPr>
            <w:r w:rsidRPr="001053D7">
              <w:rPr>
                <w:rFonts w:ascii="Times New Roman" w:hAnsi="Times New Roman" w:cs="Times New Roman"/>
                <w:b/>
                <w:u w:val="single"/>
              </w:rPr>
              <w:t>Green-Focused Directories</w:t>
            </w:r>
          </w:p>
        </w:tc>
      </w:tr>
      <w:tr w:rsidR="001053D7" w:rsidRPr="001053D7" w:rsidTr="001053D7">
        <w:tc>
          <w:tcPr>
            <w:tcW w:w="4788" w:type="dxa"/>
            <w:shd w:val="clear" w:color="auto" w:fill="auto"/>
          </w:tcPr>
          <w:p w:rsidR="001053D7" w:rsidRPr="001053D7" w:rsidRDefault="001053D7" w:rsidP="001053D7">
            <w:pPr>
              <w:rPr>
                <w:rFonts w:ascii="Times New Roman" w:hAnsi="Times New Roman" w:cs="Times New Roman"/>
              </w:rPr>
            </w:pPr>
            <w:r w:rsidRPr="001053D7">
              <w:rPr>
                <w:rFonts w:ascii="Times New Roman" w:hAnsi="Times New Roman" w:cs="Times New Roman"/>
              </w:rPr>
              <w:t>McGraw Hill Construction SWEETS</w:t>
            </w:r>
          </w:p>
        </w:tc>
        <w:tc>
          <w:tcPr>
            <w:tcW w:w="4788" w:type="dxa"/>
            <w:shd w:val="clear" w:color="auto" w:fill="auto"/>
          </w:tcPr>
          <w:p w:rsidR="001053D7" w:rsidRPr="001053D7" w:rsidRDefault="001053D7" w:rsidP="001053D7">
            <w:pPr>
              <w:rPr>
                <w:rFonts w:ascii="Times New Roman" w:hAnsi="Times New Roman" w:cs="Times New Roman"/>
              </w:rPr>
            </w:pPr>
            <w:r w:rsidRPr="001053D7">
              <w:rPr>
                <w:rFonts w:ascii="Times New Roman" w:hAnsi="Times New Roman" w:cs="Times New Roman"/>
              </w:rPr>
              <w:t>Pharos</w:t>
            </w:r>
          </w:p>
        </w:tc>
      </w:tr>
      <w:tr w:rsidR="001053D7" w:rsidRPr="001053D7" w:rsidTr="001053D7">
        <w:tc>
          <w:tcPr>
            <w:tcW w:w="4788" w:type="dxa"/>
            <w:shd w:val="clear" w:color="auto" w:fill="auto"/>
          </w:tcPr>
          <w:p w:rsidR="001053D7" w:rsidRPr="001053D7" w:rsidRDefault="001053D7" w:rsidP="001053D7">
            <w:pPr>
              <w:rPr>
                <w:rFonts w:ascii="Times New Roman" w:hAnsi="Times New Roman" w:cs="Times New Roman"/>
              </w:rPr>
            </w:pPr>
            <w:r w:rsidRPr="001053D7">
              <w:rPr>
                <w:rFonts w:ascii="Times New Roman" w:hAnsi="Times New Roman" w:cs="Times New Roman"/>
              </w:rPr>
              <w:t>Reed Construction Data FirstSource.com</w:t>
            </w:r>
          </w:p>
        </w:tc>
        <w:tc>
          <w:tcPr>
            <w:tcW w:w="4788" w:type="dxa"/>
            <w:shd w:val="clear" w:color="auto" w:fill="auto"/>
          </w:tcPr>
          <w:p w:rsidR="001053D7" w:rsidRPr="001053D7" w:rsidRDefault="001053D7" w:rsidP="001053D7">
            <w:pPr>
              <w:rPr>
                <w:rFonts w:ascii="Times New Roman" w:hAnsi="Times New Roman" w:cs="Times New Roman"/>
              </w:rPr>
            </w:pPr>
            <w:r w:rsidRPr="001053D7">
              <w:rPr>
                <w:rFonts w:ascii="Times New Roman" w:hAnsi="Times New Roman" w:cs="Times New Roman"/>
              </w:rPr>
              <w:t xml:space="preserve">CSI </w:t>
            </w:r>
            <w:proofErr w:type="spellStart"/>
            <w:r w:rsidRPr="001053D7">
              <w:rPr>
                <w:rFonts w:ascii="Times New Roman" w:hAnsi="Times New Roman" w:cs="Times New Roman"/>
              </w:rPr>
              <w:t>GreenFormat</w:t>
            </w:r>
            <w:proofErr w:type="spellEnd"/>
          </w:p>
        </w:tc>
      </w:tr>
      <w:tr w:rsidR="001053D7" w:rsidRPr="001053D7" w:rsidTr="001053D7">
        <w:tc>
          <w:tcPr>
            <w:tcW w:w="4788" w:type="dxa"/>
            <w:shd w:val="clear" w:color="auto" w:fill="auto"/>
          </w:tcPr>
          <w:p w:rsidR="001053D7" w:rsidRPr="001053D7" w:rsidRDefault="001053D7" w:rsidP="001053D7">
            <w:pPr>
              <w:rPr>
                <w:rFonts w:ascii="Times New Roman" w:hAnsi="Times New Roman" w:cs="Times New Roman"/>
              </w:rPr>
            </w:pPr>
            <w:r w:rsidRPr="001053D7">
              <w:rPr>
                <w:rFonts w:ascii="Times New Roman" w:hAnsi="Times New Roman" w:cs="Times New Roman"/>
              </w:rPr>
              <w:t>Construction Sciences Research Foundation, Inc.</w:t>
            </w:r>
          </w:p>
        </w:tc>
        <w:tc>
          <w:tcPr>
            <w:tcW w:w="4788" w:type="dxa"/>
            <w:shd w:val="clear" w:color="auto" w:fill="auto"/>
          </w:tcPr>
          <w:p w:rsidR="001053D7" w:rsidRPr="001053D7" w:rsidRDefault="001053D7" w:rsidP="001053D7">
            <w:pPr>
              <w:rPr>
                <w:rFonts w:ascii="Times New Roman" w:hAnsi="Times New Roman" w:cs="Times New Roman"/>
              </w:rPr>
            </w:pPr>
            <w:proofErr w:type="spellStart"/>
            <w:r w:rsidRPr="001053D7">
              <w:rPr>
                <w:rFonts w:ascii="Times New Roman" w:hAnsi="Times New Roman" w:cs="Times New Roman"/>
              </w:rPr>
              <w:t>GreenSpec</w:t>
            </w:r>
            <w:proofErr w:type="spellEnd"/>
          </w:p>
        </w:tc>
      </w:tr>
      <w:tr w:rsidR="001053D7" w:rsidRPr="001053D7" w:rsidTr="001053D7">
        <w:tc>
          <w:tcPr>
            <w:tcW w:w="4788" w:type="dxa"/>
            <w:shd w:val="clear" w:color="auto" w:fill="auto"/>
          </w:tcPr>
          <w:p w:rsidR="001053D7" w:rsidRPr="001053D7" w:rsidRDefault="001053D7" w:rsidP="001053D7">
            <w:pPr>
              <w:rPr>
                <w:rFonts w:ascii="Times New Roman" w:hAnsi="Times New Roman" w:cs="Times New Roman"/>
              </w:rPr>
            </w:pPr>
            <w:proofErr w:type="spellStart"/>
            <w:r w:rsidRPr="001053D7">
              <w:rPr>
                <w:rFonts w:ascii="Times New Roman" w:hAnsi="Times New Roman" w:cs="Times New Roman"/>
              </w:rPr>
              <w:t>AEC</w:t>
            </w:r>
            <w:proofErr w:type="spellEnd"/>
            <w:r w:rsidRPr="001053D7">
              <w:rPr>
                <w:rFonts w:ascii="Times New Roman" w:hAnsi="Times New Roman" w:cs="Times New Roman"/>
              </w:rPr>
              <w:t xml:space="preserve"> Daily (SpecSource.com)</w:t>
            </w:r>
          </w:p>
        </w:tc>
        <w:tc>
          <w:tcPr>
            <w:tcW w:w="4788" w:type="dxa"/>
            <w:shd w:val="clear" w:color="auto" w:fill="auto"/>
          </w:tcPr>
          <w:p w:rsidR="001053D7" w:rsidRPr="001053D7" w:rsidRDefault="001053D7" w:rsidP="001053D7">
            <w:pPr>
              <w:rPr>
                <w:rFonts w:ascii="Times New Roman" w:hAnsi="Times New Roman" w:cs="Times New Roman"/>
              </w:rPr>
            </w:pPr>
            <w:proofErr w:type="spellStart"/>
            <w:r w:rsidRPr="001053D7">
              <w:rPr>
                <w:rFonts w:ascii="Times New Roman" w:hAnsi="Times New Roman" w:cs="Times New Roman"/>
              </w:rPr>
              <w:t>GreenWizard</w:t>
            </w:r>
            <w:proofErr w:type="spellEnd"/>
          </w:p>
        </w:tc>
      </w:tr>
      <w:tr w:rsidR="001053D7" w:rsidRPr="001053D7" w:rsidTr="001053D7">
        <w:tc>
          <w:tcPr>
            <w:tcW w:w="4788" w:type="dxa"/>
            <w:shd w:val="clear" w:color="auto" w:fill="auto"/>
          </w:tcPr>
          <w:p w:rsidR="001053D7" w:rsidRPr="001053D7" w:rsidRDefault="001053D7" w:rsidP="001053D7">
            <w:pPr>
              <w:rPr>
                <w:rFonts w:ascii="Times New Roman" w:hAnsi="Times New Roman" w:cs="Times New Roman"/>
              </w:rPr>
            </w:pPr>
            <w:r w:rsidRPr="001053D7">
              <w:rPr>
                <w:rFonts w:ascii="Times New Roman" w:hAnsi="Times New Roman" w:cs="Times New Roman"/>
              </w:rPr>
              <w:t>BPM Select</w:t>
            </w:r>
          </w:p>
        </w:tc>
        <w:tc>
          <w:tcPr>
            <w:tcW w:w="4788" w:type="dxa"/>
            <w:shd w:val="clear" w:color="auto" w:fill="auto"/>
          </w:tcPr>
          <w:p w:rsidR="001053D7" w:rsidRPr="001053D7" w:rsidRDefault="001053D7" w:rsidP="001053D7">
            <w:pPr>
              <w:rPr>
                <w:rFonts w:ascii="Times New Roman" w:hAnsi="Times New Roman" w:cs="Times New Roman"/>
              </w:rPr>
            </w:pPr>
            <w:proofErr w:type="spellStart"/>
            <w:r w:rsidRPr="001053D7">
              <w:rPr>
                <w:rFonts w:ascii="Times New Roman" w:hAnsi="Times New Roman" w:cs="Times New Roman"/>
              </w:rPr>
              <w:t>Oikos</w:t>
            </w:r>
            <w:proofErr w:type="spellEnd"/>
          </w:p>
        </w:tc>
      </w:tr>
      <w:tr w:rsidR="001053D7" w:rsidRPr="001053D7" w:rsidTr="001053D7">
        <w:tc>
          <w:tcPr>
            <w:tcW w:w="4788" w:type="dxa"/>
            <w:shd w:val="clear" w:color="auto" w:fill="auto"/>
          </w:tcPr>
          <w:p w:rsidR="001053D7" w:rsidRPr="001053D7" w:rsidRDefault="001053D7" w:rsidP="001053D7">
            <w:pPr>
              <w:rPr>
                <w:rFonts w:ascii="Times New Roman" w:hAnsi="Times New Roman" w:cs="Times New Roman"/>
              </w:rPr>
            </w:pPr>
            <w:r w:rsidRPr="001053D7">
              <w:rPr>
                <w:rFonts w:ascii="Times New Roman" w:hAnsi="Times New Roman" w:cs="Times New Roman"/>
              </w:rPr>
              <w:t>4specs.com</w:t>
            </w:r>
          </w:p>
        </w:tc>
        <w:tc>
          <w:tcPr>
            <w:tcW w:w="4788" w:type="dxa"/>
            <w:shd w:val="clear" w:color="auto" w:fill="auto"/>
          </w:tcPr>
          <w:p w:rsidR="001053D7" w:rsidRPr="001053D7" w:rsidRDefault="001053D7" w:rsidP="001053D7">
            <w:pPr>
              <w:rPr>
                <w:rFonts w:ascii="Times New Roman" w:hAnsi="Times New Roman" w:cs="Times New Roman"/>
              </w:rPr>
            </w:pPr>
            <w:proofErr w:type="spellStart"/>
            <w:r w:rsidRPr="001053D7">
              <w:rPr>
                <w:rFonts w:ascii="Times New Roman" w:hAnsi="Times New Roman" w:cs="Times New Roman"/>
              </w:rPr>
              <w:t>WNC</w:t>
            </w:r>
            <w:proofErr w:type="spellEnd"/>
            <w:r w:rsidRPr="001053D7">
              <w:rPr>
                <w:rFonts w:ascii="Times New Roman" w:hAnsi="Times New Roman" w:cs="Times New Roman"/>
              </w:rPr>
              <w:t xml:space="preserve"> Green Building Directory</w:t>
            </w:r>
          </w:p>
        </w:tc>
      </w:tr>
      <w:tr w:rsidR="001053D7" w:rsidRPr="001053D7" w:rsidTr="001053D7">
        <w:tc>
          <w:tcPr>
            <w:tcW w:w="4788" w:type="dxa"/>
            <w:shd w:val="clear" w:color="auto" w:fill="auto"/>
          </w:tcPr>
          <w:p w:rsidR="001053D7" w:rsidRPr="001053D7" w:rsidRDefault="001053D7" w:rsidP="001053D7">
            <w:pPr>
              <w:rPr>
                <w:rFonts w:ascii="Times New Roman" w:hAnsi="Times New Roman" w:cs="Times New Roman"/>
              </w:rPr>
            </w:pPr>
          </w:p>
        </w:tc>
        <w:tc>
          <w:tcPr>
            <w:tcW w:w="4788" w:type="dxa"/>
            <w:shd w:val="clear" w:color="auto" w:fill="auto"/>
          </w:tcPr>
          <w:p w:rsidR="001053D7" w:rsidRPr="001053D7" w:rsidRDefault="001053D7" w:rsidP="001053D7">
            <w:pPr>
              <w:rPr>
                <w:rFonts w:ascii="Times New Roman" w:hAnsi="Times New Roman" w:cs="Times New Roman"/>
              </w:rPr>
            </w:pPr>
            <w:r w:rsidRPr="001053D7">
              <w:rPr>
                <w:rFonts w:ascii="Times New Roman" w:hAnsi="Times New Roman" w:cs="Times New Roman"/>
              </w:rPr>
              <w:t>Sustainable ABC</w:t>
            </w:r>
          </w:p>
        </w:tc>
      </w:tr>
      <w:tr w:rsidR="001053D7" w:rsidRPr="001053D7" w:rsidTr="001053D7">
        <w:tc>
          <w:tcPr>
            <w:tcW w:w="4788" w:type="dxa"/>
            <w:shd w:val="clear" w:color="auto" w:fill="auto"/>
          </w:tcPr>
          <w:p w:rsidR="001053D7" w:rsidRPr="001053D7" w:rsidRDefault="001053D7" w:rsidP="001053D7">
            <w:pPr>
              <w:rPr>
                <w:rFonts w:ascii="Times New Roman" w:hAnsi="Times New Roman" w:cs="Times New Roman"/>
              </w:rPr>
            </w:pPr>
          </w:p>
        </w:tc>
        <w:tc>
          <w:tcPr>
            <w:tcW w:w="4788" w:type="dxa"/>
            <w:shd w:val="clear" w:color="auto" w:fill="auto"/>
          </w:tcPr>
          <w:p w:rsidR="001053D7" w:rsidRPr="001053D7" w:rsidRDefault="001053D7" w:rsidP="001053D7">
            <w:pPr>
              <w:rPr>
                <w:rFonts w:ascii="Times New Roman" w:hAnsi="Times New Roman" w:cs="Times New Roman"/>
              </w:rPr>
            </w:pPr>
            <w:proofErr w:type="spellStart"/>
            <w:r w:rsidRPr="001053D7">
              <w:rPr>
                <w:rFonts w:ascii="Times New Roman" w:hAnsi="Times New Roman" w:cs="Times New Roman"/>
              </w:rPr>
              <w:t>EcoBusinessLinks</w:t>
            </w:r>
            <w:proofErr w:type="spellEnd"/>
          </w:p>
        </w:tc>
      </w:tr>
      <w:tr w:rsidR="001053D7" w:rsidRPr="001053D7" w:rsidTr="001053D7">
        <w:tc>
          <w:tcPr>
            <w:tcW w:w="4788" w:type="dxa"/>
            <w:shd w:val="clear" w:color="auto" w:fill="auto"/>
          </w:tcPr>
          <w:p w:rsidR="001053D7" w:rsidRPr="001053D7" w:rsidRDefault="001053D7" w:rsidP="001053D7">
            <w:pPr>
              <w:rPr>
                <w:rFonts w:ascii="Times New Roman" w:hAnsi="Times New Roman" w:cs="Times New Roman"/>
              </w:rPr>
            </w:pPr>
          </w:p>
        </w:tc>
        <w:tc>
          <w:tcPr>
            <w:tcW w:w="4788" w:type="dxa"/>
            <w:shd w:val="clear" w:color="auto" w:fill="auto"/>
          </w:tcPr>
          <w:p w:rsidR="001053D7" w:rsidRPr="001053D7" w:rsidRDefault="001053D7" w:rsidP="001053D7">
            <w:pPr>
              <w:rPr>
                <w:rFonts w:ascii="Times New Roman" w:hAnsi="Times New Roman" w:cs="Times New Roman"/>
              </w:rPr>
            </w:pPr>
            <w:proofErr w:type="spellStart"/>
            <w:r w:rsidRPr="001053D7">
              <w:rPr>
                <w:rFonts w:ascii="Times New Roman" w:hAnsi="Times New Roman" w:cs="Times New Roman"/>
              </w:rPr>
              <w:t>GreenBuildingAlliance</w:t>
            </w:r>
            <w:proofErr w:type="spellEnd"/>
          </w:p>
        </w:tc>
      </w:tr>
      <w:tr w:rsidR="001053D7" w:rsidRPr="001053D7" w:rsidTr="001053D7">
        <w:tc>
          <w:tcPr>
            <w:tcW w:w="4788" w:type="dxa"/>
            <w:shd w:val="clear" w:color="auto" w:fill="auto"/>
          </w:tcPr>
          <w:p w:rsidR="001053D7" w:rsidRPr="001053D7" w:rsidRDefault="001053D7" w:rsidP="001053D7">
            <w:pPr>
              <w:rPr>
                <w:rFonts w:ascii="Times New Roman" w:hAnsi="Times New Roman" w:cs="Times New Roman"/>
              </w:rPr>
            </w:pPr>
          </w:p>
        </w:tc>
        <w:tc>
          <w:tcPr>
            <w:tcW w:w="4788" w:type="dxa"/>
            <w:shd w:val="clear" w:color="auto" w:fill="auto"/>
          </w:tcPr>
          <w:p w:rsidR="001053D7" w:rsidRPr="001053D7" w:rsidRDefault="001053D7" w:rsidP="001053D7">
            <w:pPr>
              <w:rPr>
                <w:rFonts w:ascii="Times New Roman" w:hAnsi="Times New Roman" w:cs="Times New Roman"/>
              </w:rPr>
            </w:pPr>
            <w:proofErr w:type="spellStart"/>
            <w:r w:rsidRPr="001053D7">
              <w:rPr>
                <w:rFonts w:ascii="Times New Roman" w:hAnsi="Times New Roman" w:cs="Times New Roman"/>
              </w:rPr>
              <w:t>BuilditGreen</w:t>
            </w:r>
            <w:proofErr w:type="spellEnd"/>
          </w:p>
        </w:tc>
      </w:tr>
      <w:tr w:rsidR="001053D7" w:rsidRPr="001053D7" w:rsidTr="001053D7">
        <w:tc>
          <w:tcPr>
            <w:tcW w:w="4788" w:type="dxa"/>
            <w:shd w:val="clear" w:color="auto" w:fill="auto"/>
          </w:tcPr>
          <w:p w:rsidR="001053D7" w:rsidRPr="001053D7" w:rsidRDefault="001053D7" w:rsidP="001053D7">
            <w:pPr>
              <w:rPr>
                <w:rFonts w:ascii="Times New Roman" w:hAnsi="Times New Roman" w:cs="Times New Roman"/>
              </w:rPr>
            </w:pPr>
          </w:p>
        </w:tc>
        <w:tc>
          <w:tcPr>
            <w:tcW w:w="4788" w:type="dxa"/>
            <w:shd w:val="clear" w:color="auto" w:fill="auto"/>
          </w:tcPr>
          <w:p w:rsidR="001053D7" w:rsidRPr="001053D7" w:rsidRDefault="001053D7" w:rsidP="001053D7">
            <w:pPr>
              <w:rPr>
                <w:rFonts w:ascii="Times New Roman" w:hAnsi="Times New Roman" w:cs="Times New Roman"/>
              </w:rPr>
            </w:pPr>
            <w:r w:rsidRPr="001053D7">
              <w:rPr>
                <w:rFonts w:ascii="Times New Roman" w:hAnsi="Times New Roman" w:cs="Times New Roman"/>
              </w:rPr>
              <w:t>Green Building Pages</w:t>
            </w:r>
          </w:p>
        </w:tc>
      </w:tr>
      <w:tr w:rsidR="001053D7" w:rsidRPr="001053D7" w:rsidTr="001053D7">
        <w:tc>
          <w:tcPr>
            <w:tcW w:w="4788" w:type="dxa"/>
            <w:shd w:val="clear" w:color="auto" w:fill="auto"/>
          </w:tcPr>
          <w:p w:rsidR="001053D7" w:rsidRPr="001053D7" w:rsidRDefault="001053D7" w:rsidP="001053D7">
            <w:pPr>
              <w:rPr>
                <w:rFonts w:ascii="Times New Roman" w:hAnsi="Times New Roman" w:cs="Times New Roman"/>
              </w:rPr>
            </w:pPr>
          </w:p>
        </w:tc>
        <w:tc>
          <w:tcPr>
            <w:tcW w:w="4788" w:type="dxa"/>
            <w:shd w:val="clear" w:color="auto" w:fill="auto"/>
          </w:tcPr>
          <w:p w:rsidR="001053D7" w:rsidRPr="001053D7" w:rsidRDefault="001053D7" w:rsidP="001053D7">
            <w:pPr>
              <w:rPr>
                <w:rFonts w:ascii="Times New Roman" w:hAnsi="Times New Roman" w:cs="Times New Roman"/>
              </w:rPr>
            </w:pPr>
            <w:r w:rsidRPr="001053D7">
              <w:rPr>
                <w:rFonts w:ascii="Times New Roman" w:hAnsi="Times New Roman" w:cs="Times New Roman"/>
              </w:rPr>
              <w:t>Underwriter Laboratories (UL)</w:t>
            </w:r>
          </w:p>
        </w:tc>
      </w:tr>
      <w:tr w:rsidR="001053D7" w:rsidRPr="001053D7" w:rsidTr="001053D7">
        <w:tc>
          <w:tcPr>
            <w:tcW w:w="4788" w:type="dxa"/>
            <w:shd w:val="clear" w:color="auto" w:fill="auto"/>
          </w:tcPr>
          <w:p w:rsidR="001053D7" w:rsidRPr="001053D7" w:rsidRDefault="001053D7" w:rsidP="001053D7">
            <w:pPr>
              <w:rPr>
                <w:rFonts w:ascii="Times New Roman" w:hAnsi="Times New Roman" w:cs="Times New Roman"/>
              </w:rPr>
            </w:pPr>
          </w:p>
        </w:tc>
        <w:tc>
          <w:tcPr>
            <w:tcW w:w="4788" w:type="dxa"/>
            <w:shd w:val="clear" w:color="auto" w:fill="auto"/>
          </w:tcPr>
          <w:p w:rsidR="001053D7" w:rsidRPr="001053D7" w:rsidRDefault="001053D7" w:rsidP="001053D7">
            <w:pPr>
              <w:rPr>
                <w:rFonts w:ascii="Times New Roman" w:hAnsi="Times New Roman" w:cs="Times New Roman"/>
              </w:rPr>
            </w:pPr>
            <w:r w:rsidRPr="001053D7">
              <w:rPr>
                <w:rFonts w:ascii="Times New Roman" w:hAnsi="Times New Roman" w:cs="Times New Roman"/>
              </w:rPr>
              <w:t>Database of Validated and Certified Products</w:t>
            </w:r>
          </w:p>
        </w:tc>
      </w:tr>
      <w:tr w:rsidR="001053D7" w:rsidRPr="001053D7" w:rsidTr="001053D7">
        <w:tc>
          <w:tcPr>
            <w:tcW w:w="4788" w:type="dxa"/>
            <w:shd w:val="clear" w:color="auto" w:fill="auto"/>
          </w:tcPr>
          <w:p w:rsidR="001053D7" w:rsidRPr="001053D7" w:rsidRDefault="001053D7" w:rsidP="001053D7">
            <w:pPr>
              <w:rPr>
                <w:rFonts w:ascii="Times New Roman" w:hAnsi="Times New Roman" w:cs="Times New Roman"/>
              </w:rPr>
            </w:pPr>
          </w:p>
        </w:tc>
        <w:tc>
          <w:tcPr>
            <w:tcW w:w="4788" w:type="dxa"/>
            <w:shd w:val="clear" w:color="auto" w:fill="auto"/>
          </w:tcPr>
          <w:p w:rsidR="001053D7" w:rsidRPr="001053D7" w:rsidRDefault="001053D7" w:rsidP="001053D7">
            <w:pPr>
              <w:rPr>
                <w:rFonts w:ascii="Times New Roman" w:hAnsi="Times New Roman" w:cs="Times New Roman"/>
              </w:rPr>
            </w:pPr>
            <w:r w:rsidRPr="001053D7">
              <w:rPr>
                <w:rFonts w:ascii="Times New Roman" w:hAnsi="Times New Roman" w:cs="Times New Roman"/>
              </w:rPr>
              <w:t>Greener Product</w:t>
            </w:r>
          </w:p>
        </w:tc>
      </w:tr>
      <w:tr w:rsidR="001053D7" w:rsidRPr="001053D7" w:rsidTr="001053D7">
        <w:tc>
          <w:tcPr>
            <w:tcW w:w="4788" w:type="dxa"/>
            <w:shd w:val="clear" w:color="auto" w:fill="auto"/>
          </w:tcPr>
          <w:p w:rsidR="001053D7" w:rsidRPr="001053D7" w:rsidRDefault="001053D7" w:rsidP="001053D7">
            <w:pPr>
              <w:rPr>
                <w:rFonts w:ascii="Times New Roman" w:hAnsi="Times New Roman" w:cs="Times New Roman"/>
              </w:rPr>
            </w:pPr>
          </w:p>
        </w:tc>
        <w:tc>
          <w:tcPr>
            <w:tcW w:w="4788" w:type="dxa"/>
            <w:shd w:val="clear" w:color="auto" w:fill="auto"/>
          </w:tcPr>
          <w:p w:rsidR="001053D7" w:rsidRPr="001053D7" w:rsidRDefault="001053D7" w:rsidP="001053D7">
            <w:pPr>
              <w:rPr>
                <w:rFonts w:ascii="Times New Roman" w:hAnsi="Times New Roman" w:cs="Times New Roman"/>
              </w:rPr>
            </w:pPr>
            <w:r w:rsidRPr="001053D7">
              <w:rPr>
                <w:rFonts w:ascii="Times New Roman" w:hAnsi="Times New Roman" w:cs="Times New Roman"/>
              </w:rPr>
              <w:t>Cradle to Cradle Products Innovation Institute</w:t>
            </w:r>
          </w:p>
        </w:tc>
      </w:tr>
      <w:tr w:rsidR="001053D7" w:rsidRPr="001053D7" w:rsidTr="001053D7">
        <w:tc>
          <w:tcPr>
            <w:tcW w:w="4788" w:type="dxa"/>
            <w:shd w:val="clear" w:color="auto" w:fill="auto"/>
          </w:tcPr>
          <w:p w:rsidR="001053D7" w:rsidRPr="001053D7" w:rsidRDefault="001053D7" w:rsidP="001053D7">
            <w:pPr>
              <w:rPr>
                <w:rFonts w:ascii="Times New Roman" w:hAnsi="Times New Roman" w:cs="Times New Roman"/>
              </w:rPr>
            </w:pPr>
          </w:p>
        </w:tc>
        <w:tc>
          <w:tcPr>
            <w:tcW w:w="4788" w:type="dxa"/>
            <w:shd w:val="clear" w:color="auto" w:fill="auto"/>
          </w:tcPr>
          <w:p w:rsidR="001053D7" w:rsidRPr="001053D7" w:rsidRDefault="001053D7" w:rsidP="001053D7">
            <w:pPr>
              <w:rPr>
                <w:rFonts w:ascii="Times New Roman" w:hAnsi="Times New Roman" w:cs="Times New Roman"/>
              </w:rPr>
            </w:pPr>
            <w:proofErr w:type="spellStart"/>
            <w:r w:rsidRPr="001053D7">
              <w:rPr>
                <w:rFonts w:ascii="Times New Roman" w:hAnsi="Times New Roman" w:cs="Times New Roman"/>
              </w:rPr>
              <w:t>GIGABASE</w:t>
            </w:r>
            <w:proofErr w:type="spellEnd"/>
            <w:r w:rsidRPr="001053D7">
              <w:rPr>
                <w:rFonts w:ascii="Times New Roman" w:hAnsi="Times New Roman" w:cs="Times New Roman"/>
              </w:rPr>
              <w:t xml:space="preserve"> (China)</w:t>
            </w:r>
          </w:p>
        </w:tc>
      </w:tr>
    </w:tbl>
    <w:p w:rsidR="001053D7" w:rsidRPr="001053D7" w:rsidRDefault="001053D7" w:rsidP="001053D7">
      <w:pPr>
        <w:jc w:val="center"/>
      </w:pPr>
    </w:p>
    <w:p w:rsidR="001053D7" w:rsidRPr="00290B9D" w:rsidRDefault="001053D7" w:rsidP="001053D7">
      <w:pPr>
        <w:jc w:val="center"/>
        <w:rPr>
          <w:b/>
        </w:rPr>
      </w:pPr>
      <w:r w:rsidRPr="00290B9D">
        <w:rPr>
          <w:b/>
        </w:rPr>
        <w:t xml:space="preserve">Exhibit 1: Companies </w:t>
      </w:r>
      <w:proofErr w:type="gramStart"/>
      <w:r w:rsidR="00C048AB">
        <w:rPr>
          <w:b/>
        </w:rPr>
        <w:t>That</w:t>
      </w:r>
      <w:r w:rsidR="00C048AB" w:rsidRPr="00290B9D">
        <w:rPr>
          <w:b/>
        </w:rPr>
        <w:t xml:space="preserve"> </w:t>
      </w:r>
      <w:r w:rsidRPr="00290B9D">
        <w:rPr>
          <w:b/>
        </w:rPr>
        <w:t>Sell Building Product Specification Directories</w:t>
      </w:r>
      <w:proofErr w:type="gramEnd"/>
    </w:p>
    <w:p w:rsidR="00313D98" w:rsidRDefault="00313D98">
      <w:r>
        <w:br w:type="page"/>
      </w:r>
    </w:p>
    <w:tbl>
      <w:tblPr>
        <w:tblStyle w:val="TableGrid"/>
        <w:tblW w:w="98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4"/>
        <w:gridCol w:w="1261"/>
        <w:gridCol w:w="1262"/>
        <w:gridCol w:w="1262"/>
        <w:gridCol w:w="1262"/>
        <w:gridCol w:w="1262"/>
      </w:tblGrid>
      <w:tr w:rsidR="00290B9D" w:rsidTr="005D0FA7">
        <w:trPr>
          <w:trHeight w:val="525"/>
        </w:trPr>
        <w:tc>
          <w:tcPr>
            <w:tcW w:w="3494" w:type="dxa"/>
          </w:tcPr>
          <w:p w:rsidR="00290B9D" w:rsidRPr="0001135F" w:rsidRDefault="00290B9D" w:rsidP="005D0FA7">
            <w:pPr>
              <w:jc w:val="center"/>
              <w:rPr>
                <w:b/>
              </w:rPr>
            </w:pPr>
            <w:r w:rsidRPr="0001135F">
              <w:rPr>
                <w:b/>
              </w:rPr>
              <w:lastRenderedPageBreak/>
              <w:t>Pharos Pro Forma P &amp; L</w:t>
            </w:r>
          </w:p>
        </w:tc>
        <w:tc>
          <w:tcPr>
            <w:tcW w:w="1261" w:type="dxa"/>
          </w:tcPr>
          <w:p w:rsidR="00290B9D" w:rsidRPr="0001135F" w:rsidRDefault="00290B9D" w:rsidP="005D0FA7">
            <w:pPr>
              <w:jc w:val="right"/>
              <w:rPr>
                <w:b/>
              </w:rPr>
            </w:pPr>
            <w:r w:rsidRPr="0001135F">
              <w:rPr>
                <w:b/>
              </w:rPr>
              <w:t>2011</w:t>
            </w:r>
          </w:p>
        </w:tc>
        <w:tc>
          <w:tcPr>
            <w:tcW w:w="1262" w:type="dxa"/>
          </w:tcPr>
          <w:p w:rsidR="00290B9D" w:rsidRPr="0001135F" w:rsidRDefault="00290B9D" w:rsidP="005D0FA7">
            <w:pPr>
              <w:jc w:val="right"/>
              <w:rPr>
                <w:b/>
              </w:rPr>
            </w:pPr>
            <w:r w:rsidRPr="0001135F">
              <w:rPr>
                <w:b/>
              </w:rPr>
              <w:t>2012</w:t>
            </w:r>
          </w:p>
        </w:tc>
        <w:tc>
          <w:tcPr>
            <w:tcW w:w="1262" w:type="dxa"/>
          </w:tcPr>
          <w:p w:rsidR="00290B9D" w:rsidRPr="0001135F" w:rsidRDefault="00290B9D" w:rsidP="005D0FA7">
            <w:pPr>
              <w:jc w:val="right"/>
              <w:rPr>
                <w:b/>
              </w:rPr>
            </w:pPr>
            <w:r w:rsidRPr="0001135F">
              <w:rPr>
                <w:b/>
              </w:rPr>
              <w:t>2013</w:t>
            </w:r>
          </w:p>
        </w:tc>
        <w:tc>
          <w:tcPr>
            <w:tcW w:w="1262" w:type="dxa"/>
          </w:tcPr>
          <w:p w:rsidR="00290B9D" w:rsidRPr="0001135F" w:rsidRDefault="00290B9D" w:rsidP="005D0FA7">
            <w:pPr>
              <w:jc w:val="right"/>
              <w:rPr>
                <w:b/>
              </w:rPr>
            </w:pPr>
            <w:r w:rsidRPr="0001135F">
              <w:rPr>
                <w:b/>
              </w:rPr>
              <w:t>2014</w:t>
            </w:r>
          </w:p>
        </w:tc>
        <w:tc>
          <w:tcPr>
            <w:tcW w:w="1262" w:type="dxa"/>
          </w:tcPr>
          <w:p w:rsidR="00290B9D" w:rsidRPr="0001135F" w:rsidRDefault="00290B9D" w:rsidP="005D0FA7">
            <w:pPr>
              <w:jc w:val="right"/>
              <w:rPr>
                <w:b/>
              </w:rPr>
            </w:pPr>
            <w:r w:rsidRPr="0001135F">
              <w:rPr>
                <w:b/>
              </w:rPr>
              <w:t>2015</w:t>
            </w:r>
          </w:p>
        </w:tc>
      </w:tr>
      <w:tr w:rsidR="00290B9D" w:rsidTr="005D0FA7">
        <w:trPr>
          <w:trHeight w:val="270"/>
        </w:trPr>
        <w:tc>
          <w:tcPr>
            <w:tcW w:w="3494" w:type="dxa"/>
          </w:tcPr>
          <w:p w:rsidR="00290B9D" w:rsidRDefault="00290B9D" w:rsidP="005D0FA7">
            <w:r>
              <w:t>Revenue</w:t>
            </w:r>
          </w:p>
        </w:tc>
        <w:tc>
          <w:tcPr>
            <w:tcW w:w="1261" w:type="dxa"/>
          </w:tcPr>
          <w:p w:rsidR="00290B9D" w:rsidRDefault="00290B9D" w:rsidP="005D0FA7">
            <w:r>
              <w:t>$267,823</w:t>
            </w:r>
          </w:p>
        </w:tc>
        <w:tc>
          <w:tcPr>
            <w:tcW w:w="1262" w:type="dxa"/>
          </w:tcPr>
          <w:p w:rsidR="00290B9D" w:rsidRDefault="00290B9D" w:rsidP="005D0FA7">
            <w:r>
              <w:t>$329,640</w:t>
            </w:r>
          </w:p>
        </w:tc>
        <w:tc>
          <w:tcPr>
            <w:tcW w:w="1262" w:type="dxa"/>
          </w:tcPr>
          <w:p w:rsidR="00290B9D" w:rsidRDefault="00290B9D" w:rsidP="005D0FA7">
            <w:r>
              <w:t>$399,696</w:t>
            </w:r>
          </w:p>
        </w:tc>
        <w:tc>
          <w:tcPr>
            <w:tcW w:w="1262" w:type="dxa"/>
          </w:tcPr>
          <w:p w:rsidR="00290B9D" w:rsidRDefault="00290B9D" w:rsidP="005D0FA7">
            <w:r>
              <w:t>$481,825</w:t>
            </w:r>
          </w:p>
        </w:tc>
        <w:tc>
          <w:tcPr>
            <w:tcW w:w="1262" w:type="dxa"/>
          </w:tcPr>
          <w:p w:rsidR="00290B9D" w:rsidRDefault="00290B9D" w:rsidP="005D0FA7">
            <w:r>
              <w:t>$540,041</w:t>
            </w:r>
          </w:p>
        </w:tc>
      </w:tr>
      <w:tr w:rsidR="00290B9D" w:rsidTr="005D0FA7">
        <w:trPr>
          <w:trHeight w:val="270"/>
        </w:trPr>
        <w:tc>
          <w:tcPr>
            <w:tcW w:w="3494" w:type="dxa"/>
          </w:tcPr>
          <w:p w:rsidR="00290B9D" w:rsidRDefault="00290B9D" w:rsidP="005D0FA7"/>
        </w:tc>
        <w:tc>
          <w:tcPr>
            <w:tcW w:w="1261" w:type="dxa"/>
          </w:tcPr>
          <w:p w:rsidR="00290B9D" w:rsidRDefault="00290B9D" w:rsidP="005D0FA7">
            <w:pPr>
              <w:jc w:val="right"/>
            </w:pPr>
          </w:p>
        </w:tc>
        <w:tc>
          <w:tcPr>
            <w:tcW w:w="1262" w:type="dxa"/>
          </w:tcPr>
          <w:p w:rsidR="00290B9D" w:rsidRDefault="00290B9D" w:rsidP="005D0FA7">
            <w:pPr>
              <w:jc w:val="right"/>
            </w:pPr>
          </w:p>
        </w:tc>
        <w:tc>
          <w:tcPr>
            <w:tcW w:w="1262" w:type="dxa"/>
          </w:tcPr>
          <w:p w:rsidR="00290B9D" w:rsidRDefault="00290B9D" w:rsidP="005D0FA7">
            <w:pPr>
              <w:jc w:val="right"/>
            </w:pPr>
          </w:p>
        </w:tc>
        <w:tc>
          <w:tcPr>
            <w:tcW w:w="1262" w:type="dxa"/>
          </w:tcPr>
          <w:p w:rsidR="00290B9D" w:rsidRDefault="00290B9D" w:rsidP="005D0FA7">
            <w:pPr>
              <w:jc w:val="right"/>
            </w:pPr>
          </w:p>
        </w:tc>
        <w:tc>
          <w:tcPr>
            <w:tcW w:w="1262" w:type="dxa"/>
          </w:tcPr>
          <w:p w:rsidR="00290B9D" w:rsidRDefault="00290B9D" w:rsidP="005D0FA7">
            <w:pPr>
              <w:jc w:val="right"/>
            </w:pPr>
          </w:p>
        </w:tc>
      </w:tr>
      <w:tr w:rsidR="00290B9D" w:rsidTr="005D0FA7">
        <w:trPr>
          <w:trHeight w:val="255"/>
        </w:trPr>
        <w:tc>
          <w:tcPr>
            <w:tcW w:w="3494" w:type="dxa"/>
          </w:tcPr>
          <w:p w:rsidR="00290B9D" w:rsidRDefault="00290B9D" w:rsidP="005D0FA7">
            <w:r>
              <w:t>Expenses</w:t>
            </w:r>
          </w:p>
        </w:tc>
        <w:tc>
          <w:tcPr>
            <w:tcW w:w="1261" w:type="dxa"/>
          </w:tcPr>
          <w:p w:rsidR="00290B9D" w:rsidRDefault="00290B9D" w:rsidP="005D0FA7">
            <w:pPr>
              <w:jc w:val="right"/>
            </w:pPr>
          </w:p>
        </w:tc>
        <w:tc>
          <w:tcPr>
            <w:tcW w:w="1262" w:type="dxa"/>
          </w:tcPr>
          <w:p w:rsidR="00290B9D" w:rsidRDefault="00290B9D" w:rsidP="005D0FA7">
            <w:pPr>
              <w:jc w:val="right"/>
            </w:pPr>
          </w:p>
        </w:tc>
        <w:tc>
          <w:tcPr>
            <w:tcW w:w="1262" w:type="dxa"/>
          </w:tcPr>
          <w:p w:rsidR="00290B9D" w:rsidRDefault="00290B9D" w:rsidP="005D0FA7">
            <w:pPr>
              <w:jc w:val="right"/>
            </w:pPr>
          </w:p>
        </w:tc>
        <w:tc>
          <w:tcPr>
            <w:tcW w:w="1262" w:type="dxa"/>
          </w:tcPr>
          <w:p w:rsidR="00290B9D" w:rsidRDefault="00290B9D" w:rsidP="005D0FA7">
            <w:pPr>
              <w:jc w:val="right"/>
            </w:pPr>
          </w:p>
        </w:tc>
        <w:tc>
          <w:tcPr>
            <w:tcW w:w="1262" w:type="dxa"/>
          </w:tcPr>
          <w:p w:rsidR="00290B9D" w:rsidRDefault="00290B9D" w:rsidP="005D0FA7">
            <w:pPr>
              <w:jc w:val="right"/>
            </w:pPr>
          </w:p>
        </w:tc>
      </w:tr>
      <w:tr w:rsidR="00290B9D" w:rsidTr="005D0FA7">
        <w:trPr>
          <w:trHeight w:val="270"/>
        </w:trPr>
        <w:tc>
          <w:tcPr>
            <w:tcW w:w="3494" w:type="dxa"/>
          </w:tcPr>
          <w:p w:rsidR="00290B9D" w:rsidRDefault="00290B9D" w:rsidP="005D0FA7">
            <w:pPr>
              <w:ind w:firstLine="720"/>
            </w:pPr>
            <w:r>
              <w:t>Sales, Marketing, Support</w:t>
            </w:r>
          </w:p>
        </w:tc>
        <w:tc>
          <w:tcPr>
            <w:tcW w:w="1261" w:type="dxa"/>
          </w:tcPr>
          <w:p w:rsidR="00290B9D" w:rsidRDefault="00290B9D" w:rsidP="005D0FA7">
            <w:pPr>
              <w:jc w:val="right"/>
            </w:pPr>
            <w:r>
              <w:t>116,505</w:t>
            </w:r>
          </w:p>
        </w:tc>
        <w:tc>
          <w:tcPr>
            <w:tcW w:w="1262" w:type="dxa"/>
          </w:tcPr>
          <w:p w:rsidR="00290B9D" w:rsidRDefault="00290B9D" w:rsidP="005D0FA7">
            <w:pPr>
              <w:jc w:val="right"/>
            </w:pPr>
            <w:r>
              <w:t>117,156</w:t>
            </w:r>
          </w:p>
        </w:tc>
        <w:tc>
          <w:tcPr>
            <w:tcW w:w="1262" w:type="dxa"/>
          </w:tcPr>
          <w:p w:rsidR="00290B9D" w:rsidRDefault="00290B9D" w:rsidP="005D0FA7">
            <w:pPr>
              <w:jc w:val="right"/>
            </w:pPr>
            <w:r>
              <w:t>123,014</w:t>
            </w:r>
          </w:p>
        </w:tc>
        <w:tc>
          <w:tcPr>
            <w:tcW w:w="1262" w:type="dxa"/>
          </w:tcPr>
          <w:p w:rsidR="00290B9D" w:rsidRDefault="00290B9D" w:rsidP="005D0FA7">
            <w:pPr>
              <w:jc w:val="right"/>
            </w:pPr>
            <w:r>
              <w:t>123,014</w:t>
            </w:r>
          </w:p>
        </w:tc>
        <w:tc>
          <w:tcPr>
            <w:tcW w:w="1262" w:type="dxa"/>
          </w:tcPr>
          <w:p w:rsidR="00290B9D" w:rsidRDefault="00290B9D" w:rsidP="005D0FA7">
            <w:pPr>
              <w:jc w:val="right"/>
            </w:pPr>
            <w:r>
              <w:t>116,863</w:t>
            </w:r>
          </w:p>
        </w:tc>
      </w:tr>
      <w:tr w:rsidR="00290B9D" w:rsidTr="005D0FA7">
        <w:trPr>
          <w:trHeight w:val="255"/>
        </w:trPr>
        <w:tc>
          <w:tcPr>
            <w:tcW w:w="3494" w:type="dxa"/>
          </w:tcPr>
          <w:p w:rsidR="00290B9D" w:rsidRDefault="00290B9D" w:rsidP="005D0FA7">
            <w:pPr>
              <w:ind w:firstLine="720"/>
            </w:pPr>
            <w:r>
              <w:t>R&amp;D</w:t>
            </w:r>
          </w:p>
        </w:tc>
        <w:tc>
          <w:tcPr>
            <w:tcW w:w="1261" w:type="dxa"/>
          </w:tcPr>
          <w:p w:rsidR="00290B9D" w:rsidRDefault="00290B9D" w:rsidP="005D0FA7">
            <w:pPr>
              <w:jc w:val="right"/>
            </w:pPr>
            <w:r>
              <w:t>319,516</w:t>
            </w:r>
          </w:p>
        </w:tc>
        <w:tc>
          <w:tcPr>
            <w:tcW w:w="1262" w:type="dxa"/>
          </w:tcPr>
          <w:p w:rsidR="00290B9D" w:rsidRDefault="00290B9D" w:rsidP="005D0FA7">
            <w:pPr>
              <w:jc w:val="right"/>
            </w:pPr>
            <w:r>
              <w:t>351,467</w:t>
            </w:r>
          </w:p>
        </w:tc>
        <w:tc>
          <w:tcPr>
            <w:tcW w:w="1262" w:type="dxa"/>
          </w:tcPr>
          <w:p w:rsidR="00290B9D" w:rsidRDefault="00290B9D" w:rsidP="005D0FA7">
            <w:pPr>
              <w:jc w:val="right"/>
            </w:pPr>
            <w:r>
              <w:t>369,041</w:t>
            </w:r>
          </w:p>
        </w:tc>
        <w:tc>
          <w:tcPr>
            <w:tcW w:w="1262" w:type="dxa"/>
          </w:tcPr>
          <w:p w:rsidR="00290B9D" w:rsidRDefault="00290B9D" w:rsidP="005D0FA7">
            <w:pPr>
              <w:jc w:val="right"/>
            </w:pPr>
            <w:r>
              <w:t>369,041</w:t>
            </w:r>
          </w:p>
        </w:tc>
        <w:tc>
          <w:tcPr>
            <w:tcW w:w="1262" w:type="dxa"/>
          </w:tcPr>
          <w:p w:rsidR="00290B9D" w:rsidRDefault="00290B9D" w:rsidP="005D0FA7">
            <w:pPr>
              <w:jc w:val="right"/>
            </w:pPr>
            <w:r>
              <w:t>350,589</w:t>
            </w:r>
          </w:p>
        </w:tc>
      </w:tr>
      <w:tr w:rsidR="00290B9D" w:rsidTr="005D0FA7">
        <w:trPr>
          <w:trHeight w:val="270"/>
        </w:trPr>
        <w:tc>
          <w:tcPr>
            <w:tcW w:w="3494" w:type="dxa"/>
          </w:tcPr>
          <w:p w:rsidR="00290B9D" w:rsidRDefault="00290B9D" w:rsidP="005D0FA7">
            <w:pPr>
              <w:ind w:firstLine="720"/>
            </w:pPr>
            <w:r>
              <w:t>Administrative</w:t>
            </w:r>
          </w:p>
        </w:tc>
        <w:tc>
          <w:tcPr>
            <w:tcW w:w="1261" w:type="dxa"/>
          </w:tcPr>
          <w:p w:rsidR="00290B9D" w:rsidRDefault="00290B9D" w:rsidP="005D0FA7">
            <w:pPr>
              <w:jc w:val="right"/>
            </w:pPr>
            <w:r>
              <w:t>215,659</w:t>
            </w:r>
          </w:p>
        </w:tc>
        <w:tc>
          <w:tcPr>
            <w:tcW w:w="1262" w:type="dxa"/>
          </w:tcPr>
          <w:p w:rsidR="00290B9D" w:rsidRDefault="00290B9D" w:rsidP="005D0FA7">
            <w:pPr>
              <w:jc w:val="right"/>
            </w:pPr>
            <w:r>
              <w:t>229,584</w:t>
            </w:r>
          </w:p>
        </w:tc>
        <w:tc>
          <w:tcPr>
            <w:tcW w:w="1262" w:type="dxa"/>
          </w:tcPr>
          <w:p w:rsidR="00290B9D" w:rsidRDefault="00290B9D" w:rsidP="005D0FA7">
            <w:pPr>
              <w:jc w:val="right"/>
            </w:pPr>
            <w:r>
              <w:t>238,815</w:t>
            </w:r>
          </w:p>
        </w:tc>
        <w:tc>
          <w:tcPr>
            <w:tcW w:w="1262" w:type="dxa"/>
          </w:tcPr>
          <w:p w:rsidR="00290B9D" w:rsidRDefault="00290B9D" w:rsidP="005D0FA7">
            <w:pPr>
              <w:jc w:val="right"/>
            </w:pPr>
            <w:r>
              <w:t>242,289</w:t>
            </w:r>
          </w:p>
        </w:tc>
        <w:tc>
          <w:tcPr>
            <w:tcW w:w="1262" w:type="dxa"/>
          </w:tcPr>
          <w:p w:rsidR="00290B9D" w:rsidRDefault="00290B9D" w:rsidP="005D0FA7">
            <w:pPr>
              <w:jc w:val="right"/>
            </w:pPr>
            <w:r>
              <w:t>239,717</w:t>
            </w:r>
          </w:p>
        </w:tc>
      </w:tr>
      <w:tr w:rsidR="00290B9D" w:rsidTr="005D0FA7">
        <w:trPr>
          <w:trHeight w:val="270"/>
        </w:trPr>
        <w:tc>
          <w:tcPr>
            <w:tcW w:w="3494" w:type="dxa"/>
          </w:tcPr>
          <w:p w:rsidR="00290B9D" w:rsidRDefault="00290B9D" w:rsidP="005D0FA7">
            <w:pPr>
              <w:ind w:firstLine="720"/>
            </w:pPr>
            <w:r>
              <w:t>Rent &amp; Utilities</w:t>
            </w:r>
          </w:p>
        </w:tc>
        <w:tc>
          <w:tcPr>
            <w:tcW w:w="1261" w:type="dxa"/>
          </w:tcPr>
          <w:p w:rsidR="00290B9D" w:rsidRDefault="00290B9D" w:rsidP="005D0FA7">
            <w:pPr>
              <w:jc w:val="right"/>
            </w:pPr>
            <w:r>
              <w:t>39,801</w:t>
            </w:r>
          </w:p>
        </w:tc>
        <w:tc>
          <w:tcPr>
            <w:tcW w:w="1262" w:type="dxa"/>
          </w:tcPr>
          <w:p w:rsidR="00290B9D" w:rsidRDefault="00290B9D" w:rsidP="005D0FA7">
            <w:pPr>
              <w:jc w:val="right"/>
            </w:pPr>
            <w:r>
              <w:t>40,995</w:t>
            </w:r>
          </w:p>
        </w:tc>
        <w:tc>
          <w:tcPr>
            <w:tcW w:w="1262" w:type="dxa"/>
          </w:tcPr>
          <w:p w:rsidR="00290B9D" w:rsidRDefault="00290B9D" w:rsidP="005D0FA7">
            <w:pPr>
              <w:jc w:val="right"/>
            </w:pPr>
            <w:r>
              <w:t>42,225</w:t>
            </w:r>
          </w:p>
        </w:tc>
        <w:tc>
          <w:tcPr>
            <w:tcW w:w="1262" w:type="dxa"/>
          </w:tcPr>
          <w:p w:rsidR="00290B9D" w:rsidRDefault="00290B9D" w:rsidP="005D0FA7">
            <w:pPr>
              <w:jc w:val="right"/>
            </w:pPr>
            <w:r>
              <w:t>43,492</w:t>
            </w:r>
          </w:p>
        </w:tc>
        <w:tc>
          <w:tcPr>
            <w:tcW w:w="1262" w:type="dxa"/>
          </w:tcPr>
          <w:p w:rsidR="00290B9D" w:rsidRDefault="00290B9D" w:rsidP="005D0FA7">
            <w:pPr>
              <w:jc w:val="right"/>
            </w:pPr>
            <w:r>
              <w:t>44,797</w:t>
            </w:r>
          </w:p>
        </w:tc>
      </w:tr>
      <w:tr w:rsidR="00290B9D" w:rsidTr="005D0FA7">
        <w:trPr>
          <w:trHeight w:val="270"/>
        </w:trPr>
        <w:tc>
          <w:tcPr>
            <w:tcW w:w="3494" w:type="dxa"/>
          </w:tcPr>
          <w:p w:rsidR="00290B9D" w:rsidRDefault="00290B9D" w:rsidP="005D0FA7">
            <w:pPr>
              <w:ind w:firstLine="720"/>
            </w:pPr>
            <w:r>
              <w:t>Conferences &amp; Travel</w:t>
            </w:r>
          </w:p>
        </w:tc>
        <w:tc>
          <w:tcPr>
            <w:tcW w:w="1261" w:type="dxa"/>
          </w:tcPr>
          <w:p w:rsidR="00290B9D" w:rsidRDefault="00290B9D" w:rsidP="005D0FA7">
            <w:pPr>
              <w:jc w:val="right"/>
            </w:pPr>
            <w:r>
              <w:t>43,690</w:t>
            </w:r>
          </w:p>
        </w:tc>
        <w:tc>
          <w:tcPr>
            <w:tcW w:w="1262" w:type="dxa"/>
          </w:tcPr>
          <w:p w:rsidR="00290B9D" w:rsidRDefault="00290B9D" w:rsidP="005D0FA7">
            <w:pPr>
              <w:jc w:val="right"/>
            </w:pPr>
            <w:r>
              <w:t>45,001</w:t>
            </w:r>
          </w:p>
        </w:tc>
        <w:tc>
          <w:tcPr>
            <w:tcW w:w="1262" w:type="dxa"/>
          </w:tcPr>
          <w:p w:rsidR="00290B9D" w:rsidRDefault="00290B9D" w:rsidP="005D0FA7">
            <w:pPr>
              <w:jc w:val="right"/>
            </w:pPr>
            <w:r>
              <w:t>46,351</w:t>
            </w:r>
          </w:p>
        </w:tc>
        <w:tc>
          <w:tcPr>
            <w:tcW w:w="1262" w:type="dxa"/>
          </w:tcPr>
          <w:p w:rsidR="00290B9D" w:rsidRDefault="00290B9D" w:rsidP="005D0FA7">
            <w:pPr>
              <w:jc w:val="right"/>
            </w:pPr>
            <w:r>
              <w:t>47,741</w:t>
            </w:r>
          </w:p>
        </w:tc>
        <w:tc>
          <w:tcPr>
            <w:tcW w:w="1262" w:type="dxa"/>
          </w:tcPr>
          <w:p w:rsidR="00290B9D" w:rsidRDefault="00290B9D" w:rsidP="005D0FA7">
            <w:pPr>
              <w:jc w:val="right"/>
            </w:pPr>
            <w:r>
              <w:t>49,173</w:t>
            </w:r>
          </w:p>
        </w:tc>
      </w:tr>
      <w:tr w:rsidR="00290B9D" w:rsidTr="005D0FA7">
        <w:trPr>
          <w:trHeight w:val="270"/>
        </w:trPr>
        <w:tc>
          <w:tcPr>
            <w:tcW w:w="3494" w:type="dxa"/>
          </w:tcPr>
          <w:p w:rsidR="00290B9D" w:rsidRDefault="00290B9D" w:rsidP="005D0FA7">
            <w:pPr>
              <w:ind w:firstLine="720"/>
            </w:pPr>
            <w:r>
              <w:t>Professional Services</w:t>
            </w:r>
          </w:p>
        </w:tc>
        <w:tc>
          <w:tcPr>
            <w:tcW w:w="1261" w:type="dxa"/>
          </w:tcPr>
          <w:p w:rsidR="00290B9D" w:rsidRPr="0001135F" w:rsidRDefault="00290B9D" w:rsidP="005D0FA7">
            <w:pPr>
              <w:jc w:val="right"/>
              <w:rPr>
                <w:u w:val="single"/>
              </w:rPr>
            </w:pPr>
            <w:r w:rsidRPr="0001135F">
              <w:rPr>
                <w:u w:val="single"/>
              </w:rPr>
              <w:t>130,000</w:t>
            </w:r>
          </w:p>
        </w:tc>
        <w:tc>
          <w:tcPr>
            <w:tcW w:w="1262" w:type="dxa"/>
          </w:tcPr>
          <w:p w:rsidR="00290B9D" w:rsidRPr="0001135F" w:rsidRDefault="00290B9D" w:rsidP="005D0FA7">
            <w:pPr>
              <w:jc w:val="right"/>
              <w:rPr>
                <w:u w:val="single"/>
              </w:rPr>
            </w:pPr>
            <w:r w:rsidRPr="0001135F">
              <w:rPr>
                <w:u w:val="single"/>
              </w:rPr>
              <w:t>133,900</w:t>
            </w:r>
          </w:p>
        </w:tc>
        <w:tc>
          <w:tcPr>
            <w:tcW w:w="1262" w:type="dxa"/>
          </w:tcPr>
          <w:p w:rsidR="00290B9D" w:rsidRPr="0001135F" w:rsidRDefault="00290B9D" w:rsidP="005D0FA7">
            <w:pPr>
              <w:jc w:val="right"/>
              <w:rPr>
                <w:u w:val="single"/>
              </w:rPr>
            </w:pPr>
            <w:r w:rsidRPr="0001135F">
              <w:rPr>
                <w:u w:val="single"/>
              </w:rPr>
              <w:t>137,917</w:t>
            </w:r>
          </w:p>
        </w:tc>
        <w:tc>
          <w:tcPr>
            <w:tcW w:w="1262" w:type="dxa"/>
          </w:tcPr>
          <w:p w:rsidR="00290B9D" w:rsidRPr="0001135F" w:rsidRDefault="00290B9D" w:rsidP="005D0FA7">
            <w:pPr>
              <w:jc w:val="right"/>
              <w:rPr>
                <w:u w:val="single"/>
              </w:rPr>
            </w:pPr>
            <w:r w:rsidRPr="0001135F">
              <w:rPr>
                <w:u w:val="single"/>
              </w:rPr>
              <w:t>142,055</w:t>
            </w:r>
          </w:p>
        </w:tc>
        <w:tc>
          <w:tcPr>
            <w:tcW w:w="1262" w:type="dxa"/>
          </w:tcPr>
          <w:p w:rsidR="00290B9D" w:rsidRPr="0001135F" w:rsidRDefault="00290B9D" w:rsidP="005D0FA7">
            <w:pPr>
              <w:jc w:val="right"/>
              <w:rPr>
                <w:u w:val="single"/>
              </w:rPr>
            </w:pPr>
            <w:r w:rsidRPr="0001135F">
              <w:rPr>
                <w:u w:val="single"/>
              </w:rPr>
              <w:t>146,316</w:t>
            </w:r>
          </w:p>
        </w:tc>
      </w:tr>
      <w:tr w:rsidR="00290B9D" w:rsidTr="005D0FA7">
        <w:trPr>
          <w:trHeight w:val="270"/>
        </w:trPr>
        <w:tc>
          <w:tcPr>
            <w:tcW w:w="3494" w:type="dxa"/>
          </w:tcPr>
          <w:p w:rsidR="00290B9D" w:rsidRDefault="00290B9D" w:rsidP="005D0FA7">
            <w:pPr>
              <w:ind w:firstLine="540"/>
            </w:pPr>
            <w:r>
              <w:t>Total Expenses</w:t>
            </w:r>
          </w:p>
        </w:tc>
        <w:tc>
          <w:tcPr>
            <w:tcW w:w="1261" w:type="dxa"/>
          </w:tcPr>
          <w:p w:rsidR="00290B9D" w:rsidRPr="0001135F" w:rsidRDefault="00290B9D" w:rsidP="005D0FA7">
            <w:r w:rsidRPr="0001135F">
              <w:t>855,171</w:t>
            </w:r>
          </w:p>
        </w:tc>
        <w:tc>
          <w:tcPr>
            <w:tcW w:w="1262" w:type="dxa"/>
          </w:tcPr>
          <w:p w:rsidR="00290B9D" w:rsidRPr="0001135F" w:rsidRDefault="00290B9D" w:rsidP="005D0FA7">
            <w:r w:rsidRPr="0001135F">
              <w:t>918,103</w:t>
            </w:r>
          </w:p>
        </w:tc>
        <w:tc>
          <w:tcPr>
            <w:tcW w:w="1262" w:type="dxa"/>
          </w:tcPr>
          <w:p w:rsidR="00290B9D" w:rsidRPr="0001135F" w:rsidRDefault="00290B9D" w:rsidP="005D0FA7">
            <w:r w:rsidRPr="0001135F">
              <w:t>957,362</w:t>
            </w:r>
          </w:p>
        </w:tc>
        <w:tc>
          <w:tcPr>
            <w:tcW w:w="1262" w:type="dxa"/>
          </w:tcPr>
          <w:p w:rsidR="00290B9D" w:rsidRPr="0001135F" w:rsidRDefault="00290B9D" w:rsidP="005D0FA7">
            <w:r w:rsidRPr="0001135F">
              <w:t>967,631</w:t>
            </w:r>
          </w:p>
        </w:tc>
        <w:tc>
          <w:tcPr>
            <w:tcW w:w="1262" w:type="dxa"/>
          </w:tcPr>
          <w:p w:rsidR="00290B9D" w:rsidRPr="0001135F" w:rsidRDefault="00290B9D" w:rsidP="005D0FA7">
            <w:r w:rsidRPr="0001135F">
              <w:t>947,455</w:t>
            </w:r>
          </w:p>
        </w:tc>
      </w:tr>
      <w:tr w:rsidR="00290B9D" w:rsidTr="005D0FA7">
        <w:trPr>
          <w:trHeight w:val="270"/>
        </w:trPr>
        <w:tc>
          <w:tcPr>
            <w:tcW w:w="3494" w:type="dxa"/>
          </w:tcPr>
          <w:p w:rsidR="00290B9D" w:rsidRDefault="00290B9D" w:rsidP="005D0FA7">
            <w:pPr>
              <w:jc w:val="right"/>
            </w:pPr>
          </w:p>
        </w:tc>
        <w:tc>
          <w:tcPr>
            <w:tcW w:w="1261" w:type="dxa"/>
          </w:tcPr>
          <w:p w:rsidR="00290B9D" w:rsidRDefault="00290B9D" w:rsidP="005D0FA7">
            <w:pPr>
              <w:jc w:val="right"/>
            </w:pPr>
          </w:p>
        </w:tc>
        <w:tc>
          <w:tcPr>
            <w:tcW w:w="1262" w:type="dxa"/>
          </w:tcPr>
          <w:p w:rsidR="00290B9D" w:rsidRDefault="00290B9D" w:rsidP="005D0FA7">
            <w:pPr>
              <w:jc w:val="right"/>
            </w:pPr>
          </w:p>
        </w:tc>
        <w:tc>
          <w:tcPr>
            <w:tcW w:w="1262" w:type="dxa"/>
          </w:tcPr>
          <w:p w:rsidR="00290B9D" w:rsidRDefault="00290B9D" w:rsidP="005D0FA7">
            <w:pPr>
              <w:jc w:val="right"/>
            </w:pPr>
          </w:p>
        </w:tc>
        <w:tc>
          <w:tcPr>
            <w:tcW w:w="1262" w:type="dxa"/>
          </w:tcPr>
          <w:p w:rsidR="00290B9D" w:rsidRDefault="00290B9D" w:rsidP="005D0FA7">
            <w:pPr>
              <w:jc w:val="right"/>
            </w:pPr>
          </w:p>
        </w:tc>
        <w:tc>
          <w:tcPr>
            <w:tcW w:w="1262" w:type="dxa"/>
          </w:tcPr>
          <w:p w:rsidR="00290B9D" w:rsidRDefault="00290B9D" w:rsidP="005D0FA7">
            <w:pPr>
              <w:jc w:val="right"/>
            </w:pPr>
          </w:p>
        </w:tc>
      </w:tr>
      <w:tr w:rsidR="00290B9D" w:rsidTr="005D0FA7">
        <w:trPr>
          <w:trHeight w:val="270"/>
        </w:trPr>
        <w:tc>
          <w:tcPr>
            <w:tcW w:w="3494" w:type="dxa"/>
          </w:tcPr>
          <w:p w:rsidR="00290B9D" w:rsidRDefault="00290B9D" w:rsidP="005D0FA7">
            <w:r>
              <w:t>Net Income</w:t>
            </w:r>
          </w:p>
        </w:tc>
        <w:tc>
          <w:tcPr>
            <w:tcW w:w="1261" w:type="dxa"/>
          </w:tcPr>
          <w:p w:rsidR="00290B9D" w:rsidRDefault="00290B9D" w:rsidP="005D0FA7">
            <w:r>
              <w:t>(587,348)</w:t>
            </w:r>
          </w:p>
        </w:tc>
        <w:tc>
          <w:tcPr>
            <w:tcW w:w="1262" w:type="dxa"/>
          </w:tcPr>
          <w:p w:rsidR="00290B9D" w:rsidRDefault="00290B9D" w:rsidP="005D0FA7">
            <w:r>
              <w:t>(588,463)</w:t>
            </w:r>
          </w:p>
        </w:tc>
        <w:tc>
          <w:tcPr>
            <w:tcW w:w="1262" w:type="dxa"/>
          </w:tcPr>
          <w:p w:rsidR="00290B9D" w:rsidRDefault="00290B9D" w:rsidP="005D0FA7">
            <w:r>
              <w:t>(557,666)</w:t>
            </w:r>
          </w:p>
        </w:tc>
        <w:tc>
          <w:tcPr>
            <w:tcW w:w="1262" w:type="dxa"/>
          </w:tcPr>
          <w:p w:rsidR="00290B9D" w:rsidRDefault="00290B9D" w:rsidP="005D0FA7">
            <w:r>
              <w:t>(458,806)</w:t>
            </w:r>
          </w:p>
        </w:tc>
        <w:tc>
          <w:tcPr>
            <w:tcW w:w="1262" w:type="dxa"/>
          </w:tcPr>
          <w:p w:rsidR="00290B9D" w:rsidRDefault="00290B9D" w:rsidP="005D0FA7">
            <w:r>
              <w:t>(407,414)</w:t>
            </w:r>
          </w:p>
        </w:tc>
      </w:tr>
    </w:tbl>
    <w:p w:rsidR="00290B9D" w:rsidRDefault="00290B9D" w:rsidP="00290B9D"/>
    <w:p w:rsidR="00290B9D" w:rsidRPr="0001135F" w:rsidRDefault="00290B9D" w:rsidP="00290B9D">
      <w:pPr>
        <w:spacing w:after="200" w:line="480" w:lineRule="auto"/>
        <w:jc w:val="center"/>
        <w:rPr>
          <w:rFonts w:ascii="Times New Roman" w:hAnsi="Times New Roman" w:cs="Times New Roman"/>
        </w:rPr>
      </w:pPr>
      <w:r w:rsidRPr="0001135F">
        <w:rPr>
          <w:rFonts w:ascii="Times New Roman" w:hAnsi="Times New Roman" w:cs="Times New Roman"/>
          <w:b/>
          <w:bCs/>
        </w:rPr>
        <w:t>Exhibit 2: Pharos Pro Forma P &amp; L, 2011-2015</w:t>
      </w:r>
    </w:p>
    <w:p w:rsidR="00611C61" w:rsidRDefault="005532A2" w:rsidP="00611C61">
      <w:pPr>
        <w:pStyle w:val="ListParagraph"/>
        <w:spacing w:line="480" w:lineRule="auto"/>
        <w:ind w:left="0"/>
      </w:pPr>
      <w:r>
        <w:t>Assumptions:</w:t>
      </w:r>
    </w:p>
    <w:p w:rsidR="00611C61" w:rsidRDefault="005532A2" w:rsidP="00611C61">
      <w:pPr>
        <w:pStyle w:val="ListParagraph"/>
        <w:numPr>
          <w:ilvl w:val="0"/>
          <w:numId w:val="4"/>
        </w:numPr>
        <w:spacing w:line="480" w:lineRule="auto"/>
      </w:pPr>
      <w:r>
        <w:t xml:space="preserve"> </w:t>
      </w:r>
      <w:r w:rsidR="00611C61">
        <w:t>Consulting revenues of $250,000 a year from architecture firms</w:t>
      </w:r>
      <w:r w:rsidR="00336F10">
        <w:t>.</w:t>
      </w:r>
    </w:p>
    <w:p w:rsidR="00EC3080" w:rsidRDefault="005532A2" w:rsidP="00611C61">
      <w:pPr>
        <w:pStyle w:val="ListParagraph"/>
        <w:numPr>
          <w:ilvl w:val="0"/>
          <w:numId w:val="4"/>
        </w:numPr>
        <w:spacing w:line="480" w:lineRule="auto"/>
      </w:pPr>
      <w:r>
        <w:t>Target 6 potential customers in 2010.  Grow to 15-20 adoptions by 2015.</w:t>
      </w:r>
    </w:p>
    <w:sectPr w:rsidR="00EC308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BA4" w:rsidRDefault="00863BA4" w:rsidP="0001454E">
      <w:pPr>
        <w:spacing w:line="240" w:lineRule="auto"/>
      </w:pPr>
      <w:r>
        <w:separator/>
      </w:r>
    </w:p>
  </w:endnote>
  <w:endnote w:type="continuationSeparator" w:id="0">
    <w:p w:rsidR="00863BA4" w:rsidRDefault="00863BA4" w:rsidP="000145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A21" w:rsidRDefault="006F3A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CF9" w:rsidRPr="00E15DE3" w:rsidRDefault="00BE3CF9" w:rsidP="00E15D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A21" w:rsidRDefault="006F3A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BA4" w:rsidRDefault="00863BA4" w:rsidP="0001454E">
      <w:pPr>
        <w:spacing w:line="240" w:lineRule="auto"/>
      </w:pPr>
      <w:r>
        <w:separator/>
      </w:r>
    </w:p>
  </w:footnote>
  <w:footnote w:type="continuationSeparator" w:id="0">
    <w:p w:rsidR="00863BA4" w:rsidRDefault="00863BA4" w:rsidP="0001454E">
      <w:pPr>
        <w:spacing w:line="240" w:lineRule="auto"/>
      </w:pPr>
      <w:r>
        <w:continuationSeparator/>
      </w:r>
    </w:p>
  </w:footnote>
  <w:footnote w:id="1">
    <w:p w:rsidR="0001454E" w:rsidRDefault="0001454E" w:rsidP="0001454E">
      <w:pPr>
        <w:pStyle w:val="FootnoteText"/>
      </w:pPr>
      <w:r>
        <w:rPr>
          <w:rStyle w:val="FootnoteReference"/>
        </w:rPr>
        <w:footnoteRef/>
      </w:r>
      <w:r>
        <w:t xml:space="preserve"> </w:t>
      </w:r>
      <w:proofErr w:type="gramStart"/>
      <w:r w:rsidRPr="0032082F">
        <w:t>“Green Outlook 2011: Green Trends Driving Growth,” McGraw-Hill Construction, November 2010.</w:t>
      </w:r>
      <w:proofErr w:type="gramEnd"/>
    </w:p>
    <w:p w:rsidR="0001454E" w:rsidRDefault="0001454E" w:rsidP="0001454E">
      <w:pPr>
        <w:pStyle w:val="FootnoteText"/>
      </w:pPr>
    </w:p>
  </w:footnote>
  <w:footnote w:id="2">
    <w:p w:rsidR="0001454E" w:rsidRPr="000F0D61" w:rsidRDefault="0001454E" w:rsidP="0001454E">
      <w:pPr>
        <w:pStyle w:val="FootnoteText"/>
      </w:pPr>
      <w:r>
        <w:rPr>
          <w:rStyle w:val="FootnoteReference"/>
        </w:rPr>
        <w:footnoteRef/>
      </w:r>
      <w:r>
        <w:t xml:space="preserve"> </w:t>
      </w:r>
      <w:r w:rsidRPr="000F0D61">
        <w:t xml:space="preserve">“Green Building Materials, US Industry Study with Forecasts for 2013 &amp; 2018,” The </w:t>
      </w:r>
      <w:proofErr w:type="spellStart"/>
      <w:r w:rsidRPr="000F0D61">
        <w:t>Freedonia</w:t>
      </w:r>
      <w:proofErr w:type="spellEnd"/>
      <w:r w:rsidRPr="000F0D61">
        <w:t xml:space="preserve"> Group,</w:t>
      </w:r>
    </w:p>
    <w:p w:rsidR="0001454E" w:rsidRDefault="0001454E" w:rsidP="0001454E">
      <w:pPr>
        <w:pStyle w:val="FootnoteText"/>
      </w:pPr>
      <w:r w:rsidRPr="000F0D61">
        <w:t>February 2009</w:t>
      </w:r>
    </w:p>
  </w:footnote>
  <w:footnote w:id="3">
    <w:p w:rsidR="0001454E" w:rsidRDefault="0001454E" w:rsidP="0001454E">
      <w:pPr>
        <w:pStyle w:val="FootnoteText"/>
      </w:pPr>
      <w:r>
        <w:rPr>
          <w:rStyle w:val="FootnoteReference"/>
        </w:rPr>
        <w:footnoteRef/>
      </w:r>
      <w:r>
        <w:t xml:space="preserve"> </w:t>
      </w:r>
      <w:r w:rsidRPr="006178D9">
        <w:t xml:space="preserve">1) The Global </w:t>
      </w:r>
      <w:proofErr w:type="spellStart"/>
      <w:r w:rsidRPr="006178D9">
        <w:t>Ecolabel</w:t>
      </w:r>
      <w:proofErr w:type="spellEnd"/>
      <w:r w:rsidRPr="006178D9">
        <w:t xml:space="preserve"> Monitor can be downloaded at: http://www.ecolabelindex.com/downloads/Global_Ecolabel_Monitor2010.pdf. (2) Informing </w:t>
      </w:r>
      <w:proofErr w:type="spellStart"/>
      <w:r w:rsidRPr="006178D9">
        <w:t>GreenMarkets</w:t>
      </w:r>
      <w:proofErr w:type="spellEnd"/>
      <w:r w:rsidRPr="006178D9">
        <w:t xml:space="preserve">: The Roles of Industry, NGOs and Government, by Thomas P. Lyon and Julian </w:t>
      </w:r>
      <w:proofErr w:type="spellStart"/>
      <w:r w:rsidRPr="006178D9">
        <w:t>Dautremont</w:t>
      </w:r>
      <w:proofErr w:type="spellEnd"/>
      <w:r w:rsidRPr="006178D9">
        <w:t>-Smith can be downloaded at: http://www.erb.umich.edu/News-and-Events/news-events-docs/10-11/InformingGreenMarkets.pdf</w:t>
      </w:r>
    </w:p>
  </w:footnote>
  <w:footnote w:id="4">
    <w:p w:rsidR="0001454E" w:rsidRDefault="0001454E" w:rsidP="0001454E">
      <w:pPr>
        <w:pStyle w:val="FootnoteText"/>
      </w:pPr>
      <w:r>
        <w:rPr>
          <w:rStyle w:val="FootnoteReference"/>
        </w:rPr>
        <w:footnoteRef/>
      </w:r>
      <w:r>
        <w:t xml:space="preserve"> “</w:t>
      </w:r>
      <w:proofErr w:type="spellStart"/>
      <w:r>
        <w:t>LEED</w:t>
      </w:r>
      <w:proofErr w:type="spellEnd"/>
      <w:r>
        <w:t xml:space="preserve"> Certification: Where Energy Efficiency Collides with Human Health,” Environment and Human Health, Inc., May 2010</w:t>
      </w:r>
    </w:p>
  </w:footnote>
  <w:footnote w:id="5">
    <w:p w:rsidR="00572E6A" w:rsidRPr="00572E6A" w:rsidRDefault="00572E6A" w:rsidP="00572E6A">
      <w:pPr>
        <w:pStyle w:val="FootnoteText"/>
      </w:pPr>
      <w:r>
        <w:rPr>
          <w:rStyle w:val="FootnoteReference"/>
        </w:rPr>
        <w:footnoteRef/>
      </w:r>
      <w:r>
        <w:t xml:space="preserve"> </w:t>
      </w:r>
      <w:proofErr w:type="gramStart"/>
      <w:r w:rsidRPr="00572E6A">
        <w:t xml:space="preserve">Clark, </w:t>
      </w:r>
      <w:proofErr w:type="spellStart"/>
      <w:r w:rsidRPr="00572E6A">
        <w:t>W.H</w:t>
      </w:r>
      <w:proofErr w:type="spellEnd"/>
      <w:r w:rsidRPr="00572E6A">
        <w:t xml:space="preserve">. &amp; </w:t>
      </w:r>
      <w:proofErr w:type="spellStart"/>
      <w:r w:rsidRPr="00572E6A">
        <w:t>Vranka</w:t>
      </w:r>
      <w:proofErr w:type="spellEnd"/>
      <w:r w:rsidRPr="00572E6A">
        <w:t>, L. (2013).</w:t>
      </w:r>
      <w:proofErr w:type="gramEnd"/>
      <w:r w:rsidRPr="00572E6A">
        <w:t xml:space="preserve"> </w:t>
      </w:r>
      <w:proofErr w:type="gramStart"/>
      <w:r w:rsidRPr="00572E6A">
        <w:rPr>
          <w:i/>
        </w:rPr>
        <w:t>The need and rationale for the benefit corporation.</w:t>
      </w:r>
      <w:proofErr w:type="gramEnd"/>
      <w:r w:rsidRPr="00572E6A">
        <w:rPr>
          <w:i/>
        </w:rPr>
        <w:t xml:space="preserve"> </w:t>
      </w:r>
      <w:proofErr w:type="gramStart"/>
      <w:r w:rsidRPr="00572E6A">
        <w:t>Benefit Corp Information Center.</w:t>
      </w:r>
      <w:proofErr w:type="gramEnd"/>
    </w:p>
    <w:p w:rsidR="00572E6A" w:rsidRDefault="00572E6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A21" w:rsidRDefault="006F3A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A21" w:rsidRDefault="006F3A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A21" w:rsidRDefault="006F3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926F4"/>
    <w:multiLevelType w:val="hybridMultilevel"/>
    <w:tmpl w:val="18CA8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1459C9"/>
    <w:multiLevelType w:val="hybridMultilevel"/>
    <w:tmpl w:val="7862A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1326F46"/>
    <w:multiLevelType w:val="hybridMultilevel"/>
    <w:tmpl w:val="3E6078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FF41432"/>
    <w:multiLevelType w:val="hybridMultilevel"/>
    <w:tmpl w:val="5CE65F2C"/>
    <w:lvl w:ilvl="0" w:tplc="4456E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BB3"/>
    <w:rsid w:val="0001454E"/>
    <w:rsid w:val="00022C9E"/>
    <w:rsid w:val="00024CEF"/>
    <w:rsid w:val="00034272"/>
    <w:rsid w:val="0003438A"/>
    <w:rsid w:val="00052A84"/>
    <w:rsid w:val="000633D9"/>
    <w:rsid w:val="00081D7A"/>
    <w:rsid w:val="00097E7B"/>
    <w:rsid w:val="000B7B90"/>
    <w:rsid w:val="000C1409"/>
    <w:rsid w:val="000E07C4"/>
    <w:rsid w:val="001053D7"/>
    <w:rsid w:val="00105675"/>
    <w:rsid w:val="00132BD2"/>
    <w:rsid w:val="00140D14"/>
    <w:rsid w:val="00194E56"/>
    <w:rsid w:val="00225B6C"/>
    <w:rsid w:val="00234F03"/>
    <w:rsid w:val="00282FE8"/>
    <w:rsid w:val="00290B9D"/>
    <w:rsid w:val="002E2A8C"/>
    <w:rsid w:val="00313D98"/>
    <w:rsid w:val="003266AC"/>
    <w:rsid w:val="00336F10"/>
    <w:rsid w:val="00394352"/>
    <w:rsid w:val="003A4AB1"/>
    <w:rsid w:val="003D2D54"/>
    <w:rsid w:val="003F25CB"/>
    <w:rsid w:val="004002D5"/>
    <w:rsid w:val="004178CA"/>
    <w:rsid w:val="00435633"/>
    <w:rsid w:val="004508C1"/>
    <w:rsid w:val="004A0BC7"/>
    <w:rsid w:val="004D0B9B"/>
    <w:rsid w:val="004D5753"/>
    <w:rsid w:val="00507350"/>
    <w:rsid w:val="0051319A"/>
    <w:rsid w:val="00531280"/>
    <w:rsid w:val="0055051B"/>
    <w:rsid w:val="005532A2"/>
    <w:rsid w:val="00563F92"/>
    <w:rsid w:val="00572E6A"/>
    <w:rsid w:val="005766B6"/>
    <w:rsid w:val="00587323"/>
    <w:rsid w:val="005C2BB3"/>
    <w:rsid w:val="005C705E"/>
    <w:rsid w:val="005F3083"/>
    <w:rsid w:val="005F3388"/>
    <w:rsid w:val="00606054"/>
    <w:rsid w:val="006100DC"/>
    <w:rsid w:val="00611C61"/>
    <w:rsid w:val="0062593C"/>
    <w:rsid w:val="00677627"/>
    <w:rsid w:val="00685394"/>
    <w:rsid w:val="00692F5B"/>
    <w:rsid w:val="006D0C61"/>
    <w:rsid w:val="006D327A"/>
    <w:rsid w:val="006F3A21"/>
    <w:rsid w:val="006F7E18"/>
    <w:rsid w:val="00734F78"/>
    <w:rsid w:val="007358D7"/>
    <w:rsid w:val="00736D03"/>
    <w:rsid w:val="00753015"/>
    <w:rsid w:val="007623F8"/>
    <w:rsid w:val="00790D12"/>
    <w:rsid w:val="007A7F44"/>
    <w:rsid w:val="008255CA"/>
    <w:rsid w:val="0083139D"/>
    <w:rsid w:val="0083249A"/>
    <w:rsid w:val="008532F1"/>
    <w:rsid w:val="00863BA4"/>
    <w:rsid w:val="00872252"/>
    <w:rsid w:val="00881539"/>
    <w:rsid w:val="008A1B48"/>
    <w:rsid w:val="008B2878"/>
    <w:rsid w:val="008F2837"/>
    <w:rsid w:val="00971DF0"/>
    <w:rsid w:val="009A0FC8"/>
    <w:rsid w:val="009F4FF1"/>
    <w:rsid w:val="00A059C5"/>
    <w:rsid w:val="00A50044"/>
    <w:rsid w:val="00A905F8"/>
    <w:rsid w:val="00AE2B3C"/>
    <w:rsid w:val="00B0583B"/>
    <w:rsid w:val="00B16F4B"/>
    <w:rsid w:val="00B310EB"/>
    <w:rsid w:val="00B52964"/>
    <w:rsid w:val="00B624EB"/>
    <w:rsid w:val="00B83490"/>
    <w:rsid w:val="00B925B0"/>
    <w:rsid w:val="00BA6D5C"/>
    <w:rsid w:val="00BC0FC9"/>
    <w:rsid w:val="00BD5027"/>
    <w:rsid w:val="00BE3CF9"/>
    <w:rsid w:val="00BF6CB1"/>
    <w:rsid w:val="00C048AB"/>
    <w:rsid w:val="00C251DD"/>
    <w:rsid w:val="00C32CFD"/>
    <w:rsid w:val="00C57DE6"/>
    <w:rsid w:val="00CB118D"/>
    <w:rsid w:val="00D01C73"/>
    <w:rsid w:val="00D047D8"/>
    <w:rsid w:val="00D441B6"/>
    <w:rsid w:val="00D668C1"/>
    <w:rsid w:val="00D831DC"/>
    <w:rsid w:val="00D87582"/>
    <w:rsid w:val="00DA7EF7"/>
    <w:rsid w:val="00DB4DBB"/>
    <w:rsid w:val="00E14027"/>
    <w:rsid w:val="00E15DE3"/>
    <w:rsid w:val="00E2326C"/>
    <w:rsid w:val="00E32A0B"/>
    <w:rsid w:val="00E37A72"/>
    <w:rsid w:val="00E44755"/>
    <w:rsid w:val="00E83EC8"/>
    <w:rsid w:val="00E9361B"/>
    <w:rsid w:val="00EA1047"/>
    <w:rsid w:val="00EC3080"/>
    <w:rsid w:val="00EE08F5"/>
    <w:rsid w:val="00EF5C96"/>
    <w:rsid w:val="00F041EB"/>
    <w:rsid w:val="00F33292"/>
    <w:rsid w:val="00F516A3"/>
    <w:rsid w:val="00F66C6D"/>
    <w:rsid w:val="00F70DD9"/>
    <w:rsid w:val="00F76FD6"/>
    <w:rsid w:val="00FA1E83"/>
    <w:rsid w:val="00FB32DE"/>
    <w:rsid w:val="00FB4752"/>
    <w:rsid w:val="00FE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1454E"/>
    <w:pPr>
      <w:spacing w:line="240" w:lineRule="auto"/>
    </w:pPr>
    <w:rPr>
      <w:sz w:val="20"/>
      <w:szCs w:val="20"/>
    </w:rPr>
  </w:style>
  <w:style w:type="character" w:customStyle="1" w:styleId="FootnoteTextChar">
    <w:name w:val="Footnote Text Char"/>
    <w:basedOn w:val="DefaultParagraphFont"/>
    <w:link w:val="FootnoteText"/>
    <w:uiPriority w:val="99"/>
    <w:semiHidden/>
    <w:rsid w:val="0001454E"/>
    <w:rPr>
      <w:sz w:val="20"/>
      <w:szCs w:val="20"/>
    </w:rPr>
  </w:style>
  <w:style w:type="character" w:styleId="FootnoteReference">
    <w:name w:val="footnote reference"/>
    <w:basedOn w:val="DefaultParagraphFont"/>
    <w:uiPriority w:val="99"/>
    <w:semiHidden/>
    <w:unhideWhenUsed/>
    <w:rsid w:val="0001454E"/>
    <w:rPr>
      <w:vertAlign w:val="superscript"/>
    </w:rPr>
  </w:style>
  <w:style w:type="paragraph" w:styleId="BalloonText">
    <w:name w:val="Balloon Text"/>
    <w:basedOn w:val="Normal"/>
    <w:link w:val="BalloonTextChar"/>
    <w:uiPriority w:val="99"/>
    <w:semiHidden/>
    <w:unhideWhenUsed/>
    <w:rsid w:val="00B834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490"/>
    <w:rPr>
      <w:rFonts w:ascii="Tahoma" w:hAnsi="Tahoma" w:cs="Tahoma"/>
      <w:sz w:val="16"/>
      <w:szCs w:val="16"/>
    </w:rPr>
  </w:style>
  <w:style w:type="paragraph" w:styleId="Header">
    <w:name w:val="header"/>
    <w:basedOn w:val="Normal"/>
    <w:link w:val="HeaderChar"/>
    <w:uiPriority w:val="99"/>
    <w:unhideWhenUsed/>
    <w:rsid w:val="00BE3CF9"/>
    <w:pPr>
      <w:tabs>
        <w:tab w:val="center" w:pos="4680"/>
        <w:tab w:val="right" w:pos="9360"/>
      </w:tabs>
      <w:spacing w:line="240" w:lineRule="auto"/>
    </w:pPr>
  </w:style>
  <w:style w:type="character" w:customStyle="1" w:styleId="HeaderChar">
    <w:name w:val="Header Char"/>
    <w:basedOn w:val="DefaultParagraphFont"/>
    <w:link w:val="Header"/>
    <w:uiPriority w:val="99"/>
    <w:rsid w:val="00BE3CF9"/>
  </w:style>
  <w:style w:type="paragraph" w:styleId="Footer">
    <w:name w:val="footer"/>
    <w:basedOn w:val="Normal"/>
    <w:link w:val="FooterChar"/>
    <w:uiPriority w:val="99"/>
    <w:unhideWhenUsed/>
    <w:rsid w:val="00BE3CF9"/>
    <w:pPr>
      <w:tabs>
        <w:tab w:val="center" w:pos="4680"/>
        <w:tab w:val="right" w:pos="9360"/>
      </w:tabs>
      <w:spacing w:line="240" w:lineRule="auto"/>
    </w:pPr>
  </w:style>
  <w:style w:type="character" w:customStyle="1" w:styleId="FooterChar">
    <w:name w:val="Footer Char"/>
    <w:basedOn w:val="DefaultParagraphFont"/>
    <w:link w:val="Footer"/>
    <w:uiPriority w:val="99"/>
    <w:rsid w:val="00BE3CF9"/>
  </w:style>
  <w:style w:type="table" w:styleId="TableGrid">
    <w:name w:val="Table Grid"/>
    <w:basedOn w:val="TableNormal"/>
    <w:uiPriority w:val="59"/>
    <w:rsid w:val="001053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8C1"/>
    <w:pPr>
      <w:ind w:left="720"/>
      <w:contextualSpacing/>
    </w:pPr>
  </w:style>
  <w:style w:type="paragraph" w:styleId="Revision">
    <w:name w:val="Revision"/>
    <w:hidden/>
    <w:uiPriority w:val="99"/>
    <w:semiHidden/>
    <w:rsid w:val="003F25CB"/>
    <w:pPr>
      <w:spacing w:line="240" w:lineRule="auto"/>
    </w:pPr>
  </w:style>
  <w:style w:type="character" w:styleId="CommentReference">
    <w:name w:val="annotation reference"/>
    <w:basedOn w:val="DefaultParagraphFont"/>
    <w:uiPriority w:val="99"/>
    <w:semiHidden/>
    <w:unhideWhenUsed/>
    <w:rsid w:val="00F516A3"/>
    <w:rPr>
      <w:sz w:val="16"/>
      <w:szCs w:val="16"/>
    </w:rPr>
  </w:style>
  <w:style w:type="paragraph" w:styleId="CommentText">
    <w:name w:val="annotation text"/>
    <w:basedOn w:val="Normal"/>
    <w:link w:val="CommentTextChar"/>
    <w:uiPriority w:val="99"/>
    <w:semiHidden/>
    <w:unhideWhenUsed/>
    <w:rsid w:val="00F516A3"/>
    <w:pPr>
      <w:spacing w:line="240" w:lineRule="auto"/>
    </w:pPr>
    <w:rPr>
      <w:sz w:val="20"/>
      <w:szCs w:val="20"/>
    </w:rPr>
  </w:style>
  <w:style w:type="character" w:customStyle="1" w:styleId="CommentTextChar">
    <w:name w:val="Comment Text Char"/>
    <w:basedOn w:val="DefaultParagraphFont"/>
    <w:link w:val="CommentText"/>
    <w:uiPriority w:val="99"/>
    <w:semiHidden/>
    <w:rsid w:val="00F516A3"/>
    <w:rPr>
      <w:sz w:val="20"/>
      <w:szCs w:val="20"/>
    </w:rPr>
  </w:style>
  <w:style w:type="paragraph" w:styleId="CommentSubject">
    <w:name w:val="annotation subject"/>
    <w:basedOn w:val="CommentText"/>
    <w:next w:val="CommentText"/>
    <w:link w:val="CommentSubjectChar"/>
    <w:uiPriority w:val="99"/>
    <w:semiHidden/>
    <w:unhideWhenUsed/>
    <w:rsid w:val="00F516A3"/>
    <w:rPr>
      <w:b/>
      <w:bCs/>
    </w:rPr>
  </w:style>
  <w:style w:type="character" w:customStyle="1" w:styleId="CommentSubjectChar">
    <w:name w:val="Comment Subject Char"/>
    <w:basedOn w:val="CommentTextChar"/>
    <w:link w:val="CommentSubject"/>
    <w:uiPriority w:val="99"/>
    <w:semiHidden/>
    <w:rsid w:val="00F516A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1454E"/>
    <w:pPr>
      <w:spacing w:line="240" w:lineRule="auto"/>
    </w:pPr>
    <w:rPr>
      <w:sz w:val="20"/>
      <w:szCs w:val="20"/>
    </w:rPr>
  </w:style>
  <w:style w:type="character" w:customStyle="1" w:styleId="FootnoteTextChar">
    <w:name w:val="Footnote Text Char"/>
    <w:basedOn w:val="DefaultParagraphFont"/>
    <w:link w:val="FootnoteText"/>
    <w:uiPriority w:val="99"/>
    <w:semiHidden/>
    <w:rsid w:val="0001454E"/>
    <w:rPr>
      <w:sz w:val="20"/>
      <w:szCs w:val="20"/>
    </w:rPr>
  </w:style>
  <w:style w:type="character" w:styleId="FootnoteReference">
    <w:name w:val="footnote reference"/>
    <w:basedOn w:val="DefaultParagraphFont"/>
    <w:uiPriority w:val="99"/>
    <w:semiHidden/>
    <w:unhideWhenUsed/>
    <w:rsid w:val="0001454E"/>
    <w:rPr>
      <w:vertAlign w:val="superscript"/>
    </w:rPr>
  </w:style>
  <w:style w:type="paragraph" w:styleId="BalloonText">
    <w:name w:val="Balloon Text"/>
    <w:basedOn w:val="Normal"/>
    <w:link w:val="BalloonTextChar"/>
    <w:uiPriority w:val="99"/>
    <w:semiHidden/>
    <w:unhideWhenUsed/>
    <w:rsid w:val="00B834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490"/>
    <w:rPr>
      <w:rFonts w:ascii="Tahoma" w:hAnsi="Tahoma" w:cs="Tahoma"/>
      <w:sz w:val="16"/>
      <w:szCs w:val="16"/>
    </w:rPr>
  </w:style>
  <w:style w:type="paragraph" w:styleId="Header">
    <w:name w:val="header"/>
    <w:basedOn w:val="Normal"/>
    <w:link w:val="HeaderChar"/>
    <w:uiPriority w:val="99"/>
    <w:unhideWhenUsed/>
    <w:rsid w:val="00BE3CF9"/>
    <w:pPr>
      <w:tabs>
        <w:tab w:val="center" w:pos="4680"/>
        <w:tab w:val="right" w:pos="9360"/>
      </w:tabs>
      <w:spacing w:line="240" w:lineRule="auto"/>
    </w:pPr>
  </w:style>
  <w:style w:type="character" w:customStyle="1" w:styleId="HeaderChar">
    <w:name w:val="Header Char"/>
    <w:basedOn w:val="DefaultParagraphFont"/>
    <w:link w:val="Header"/>
    <w:uiPriority w:val="99"/>
    <w:rsid w:val="00BE3CF9"/>
  </w:style>
  <w:style w:type="paragraph" w:styleId="Footer">
    <w:name w:val="footer"/>
    <w:basedOn w:val="Normal"/>
    <w:link w:val="FooterChar"/>
    <w:uiPriority w:val="99"/>
    <w:unhideWhenUsed/>
    <w:rsid w:val="00BE3CF9"/>
    <w:pPr>
      <w:tabs>
        <w:tab w:val="center" w:pos="4680"/>
        <w:tab w:val="right" w:pos="9360"/>
      </w:tabs>
      <w:spacing w:line="240" w:lineRule="auto"/>
    </w:pPr>
  </w:style>
  <w:style w:type="character" w:customStyle="1" w:styleId="FooterChar">
    <w:name w:val="Footer Char"/>
    <w:basedOn w:val="DefaultParagraphFont"/>
    <w:link w:val="Footer"/>
    <w:uiPriority w:val="99"/>
    <w:rsid w:val="00BE3CF9"/>
  </w:style>
  <w:style w:type="table" w:styleId="TableGrid">
    <w:name w:val="Table Grid"/>
    <w:basedOn w:val="TableNormal"/>
    <w:uiPriority w:val="59"/>
    <w:rsid w:val="001053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8C1"/>
    <w:pPr>
      <w:ind w:left="720"/>
      <w:contextualSpacing/>
    </w:pPr>
  </w:style>
  <w:style w:type="paragraph" w:styleId="Revision">
    <w:name w:val="Revision"/>
    <w:hidden/>
    <w:uiPriority w:val="99"/>
    <w:semiHidden/>
    <w:rsid w:val="003F25CB"/>
    <w:pPr>
      <w:spacing w:line="240" w:lineRule="auto"/>
    </w:pPr>
  </w:style>
  <w:style w:type="character" w:styleId="CommentReference">
    <w:name w:val="annotation reference"/>
    <w:basedOn w:val="DefaultParagraphFont"/>
    <w:uiPriority w:val="99"/>
    <w:semiHidden/>
    <w:unhideWhenUsed/>
    <w:rsid w:val="00F516A3"/>
    <w:rPr>
      <w:sz w:val="16"/>
      <w:szCs w:val="16"/>
    </w:rPr>
  </w:style>
  <w:style w:type="paragraph" w:styleId="CommentText">
    <w:name w:val="annotation text"/>
    <w:basedOn w:val="Normal"/>
    <w:link w:val="CommentTextChar"/>
    <w:uiPriority w:val="99"/>
    <w:semiHidden/>
    <w:unhideWhenUsed/>
    <w:rsid w:val="00F516A3"/>
    <w:pPr>
      <w:spacing w:line="240" w:lineRule="auto"/>
    </w:pPr>
    <w:rPr>
      <w:sz w:val="20"/>
      <w:szCs w:val="20"/>
    </w:rPr>
  </w:style>
  <w:style w:type="character" w:customStyle="1" w:styleId="CommentTextChar">
    <w:name w:val="Comment Text Char"/>
    <w:basedOn w:val="DefaultParagraphFont"/>
    <w:link w:val="CommentText"/>
    <w:uiPriority w:val="99"/>
    <w:semiHidden/>
    <w:rsid w:val="00F516A3"/>
    <w:rPr>
      <w:sz w:val="20"/>
      <w:szCs w:val="20"/>
    </w:rPr>
  </w:style>
  <w:style w:type="paragraph" w:styleId="CommentSubject">
    <w:name w:val="annotation subject"/>
    <w:basedOn w:val="CommentText"/>
    <w:next w:val="CommentText"/>
    <w:link w:val="CommentSubjectChar"/>
    <w:uiPriority w:val="99"/>
    <w:semiHidden/>
    <w:unhideWhenUsed/>
    <w:rsid w:val="00F516A3"/>
    <w:rPr>
      <w:b/>
      <w:bCs/>
    </w:rPr>
  </w:style>
  <w:style w:type="character" w:customStyle="1" w:styleId="CommentSubjectChar">
    <w:name w:val="Comment Subject Char"/>
    <w:basedOn w:val="CommentTextChar"/>
    <w:link w:val="CommentSubject"/>
    <w:uiPriority w:val="99"/>
    <w:semiHidden/>
    <w:rsid w:val="00F516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4691</Words>
  <Characters>26745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2014-10-06T19:02:00Z</dcterms:created>
  <dcterms:modified xsi:type="dcterms:W3CDTF">2014-10-08T20:25:00Z</dcterms:modified>
</cp:coreProperties>
</file>