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42C4A"/>
        </w:rPr>
        <w:t>美股截面选股策略 —— 全策略分析报告</w:t>
      </w:r>
    </w:p>
    <w:p>
      <w:r>
        <w:rPr>
          <w:rFonts w:ascii="微软雅黑" w:hAnsi="微软雅黑" w:eastAsia="微软雅黑"/>
          <w:i/>
        </w:rPr>
        <w:t>版本 2026-10-09 ｜ 标的池:美股/ETF 81 只(基本面过滤后 53~55 只) ｜ 回测:MT5 策略测试器(Pepperstone-Demo)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摘要</w:t>
      </w:r>
    </w:p>
    <w:p>
      <w:pPr>
        <w:pStyle w:val="ListBullet"/>
      </w:pPr>
      <w:r>
        <w:rPr>
          <w:rFonts w:ascii="微软雅黑" w:hAnsi="微软雅黑" w:eastAsia="微软雅黑"/>
        </w:rPr>
        <w:t>策略骨架:标的池 → 基本面过滤 → 价格统计截面排序 → 取前 8 名等权 → 每 21 天调仓、只做多。</w:t>
      </w:r>
    </w:p>
    <w:p>
      <w:pPr>
        <w:pStyle w:val="ListBullet"/>
      </w:pPr>
      <w:r>
        <w:rPr>
          <w:rFonts w:ascii="微软雅黑" w:hAnsi="微软雅黑" w:eastAsia="微软雅黑"/>
        </w:rPr>
        <w:t>2025 全年:动量口径 +19.21%,稳定性评分口径 +3.96%;同期「同池 53 只等权买入持有」+24.30%。</w:t>
      </w:r>
    </w:p>
    <w:p>
      <w:pPr>
        <w:pStyle w:val="ListBullet"/>
      </w:pPr>
      <w:r>
        <w:rPr>
          <w:rFonts w:ascii="微软雅黑" w:hAnsi="微软雅黑" w:eastAsia="微软雅黑"/>
        </w:rPr>
        <w:t>2026.07–10 样本外:评分 −1.14%、动量 −2.99%;同池 55 只等权持有 +2.66%。</w:t>
      </w:r>
    </w:p>
    <w:p>
      <w:pPr>
        <w:pStyle w:val="ListBullet"/>
      </w:pPr>
      <w:r>
        <w:rPr>
          <w:rFonts w:ascii="微软雅黑" w:hAnsi="微软雅黑" w:eastAsia="微软雅黑"/>
        </w:rPr>
        <w:t>归因:当前策略没有产生正超额,收益来自市场自身;主要拖累是成本(隔夜利息年化 6%+)与评分维度;风控(仓位、回撤)本身有效。</w:t>
      </w:r>
    </w:p>
    <w:p>
      <w:pPr>
        <w:pStyle w:val="ListBullet"/>
      </w:pPr>
      <w:r>
        <w:rPr>
          <w:rFonts w:ascii="微软雅黑" w:hAnsi="微软雅黑" w:eastAsia="微软雅黑"/>
        </w:rPr>
        <w:t>一句话定位:它现在是一个「低波动防御池 + 动量轮动」的框架,还不是 alpha 引擎。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一、策略定位与投资逻辑</w:t>
      </w:r>
    </w:p>
    <w:p>
      <w:r>
        <w:rPr>
          <w:rFonts w:ascii="微软雅黑" w:hAnsi="微软雅黑" w:eastAsia="微软雅黑"/>
        </w:rPr>
        <w:t>原始立意(选股脚本 ReliabilityRanking v1.31):不找涨得最猛的,找「最稳」的——具备均值回归性、回撤浅且回升快、波动在收敛、系统性风险低。</w:t>
      </w:r>
    </w:p>
    <w:p>
      <w:r>
        <w:rPr>
          <w:rFonts w:ascii="微软雅黑" w:hAnsi="微软雅黑" w:eastAsia="微软雅黑"/>
        </w:rPr>
        <w:t>实现上分三层: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层次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做什么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产物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 标的池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81 只美股/ETF → 基本面过滤(质量+盈利稳定性+低杠杆+股东回报)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53~55 只候选池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 排序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只用「回测起点之前」的数据算 14 个统计指标 → 截面 Z-score 加权总分;或用区间收益(动量)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标的截面排名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3 组合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取前 8 名等权,每 21 天重算并调仓,只做多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持仓组合 + 净值曲线</w:t>
            </w:r>
          </w:p>
        </w:tc>
      </w:tr>
    </w:tbl>
    <w:p/>
    <w:p>
      <w:r>
        <w:rPr>
          <w:rFonts w:ascii="微软雅黑" w:hAnsi="微软雅黑" w:eastAsia="微软雅黑"/>
        </w:rPr>
        <w:t>与常见做法的两个关键区别:(a) 所有指标都用「仅过去」的窗口重算,不存在未来函数;(b) 用「一类/二类」硬门槛先筛质量,再在合格标的里排序。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二、标的池与筛选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2.1 池子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原始池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81 只(大盘美股 + 少量 ETF:EW / EEM / IWM / XLE 等)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被剔除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原池 100 个里 Pepperstone 不提供 19 个(HYG GLD VNQ BK VBK VGT ZTO YY BHP VALE BILI TCOM MOMO EDU PDD EA TWLO SQ DJT)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合约口径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统一标准盘 .US;同一批标的换 .US-24 后排名会显著变化(RTX 在 .US 第 1 名、在 .US-24 第 35 名)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基本面过滤后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2025 回测用 53 只(2024-12-31 快照);2026H2 用 55 只(2026-06-30 快照)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5478"/>
        </w:rPr>
        <w:t>2.2 价格统计指标(逐个说明计算逻辑)</w:t>
      </w:r>
    </w:p>
    <w:p>
      <w:r>
        <w:rPr>
          <w:rFonts w:ascii="微软雅黑" w:hAnsi="微软雅黑" w:eastAsia="微软雅黑"/>
        </w:rPr>
        <w:t>全部指标基于 M30 收盘价序列,窗口只取回测起点之前的历史: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计算逻辑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方向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均值回归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ADF t 值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对价格序列做 ADF 单位根检验(带 1 阶差分项),取价格项系数的 t 统计量。t 越负越能拒绝「随机游走」,回归性越强。t &lt; −2.86 视为统计显著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越负越好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均值回归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半衰期 HL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回归 ΔP = α + β·P(−1) 得 λ=β;HL = −ln2/λ(单位:根 K 线)。超过上限 800 记 9999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越短越好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均值回归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Hurst 指数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R/S 重标极差法,H &lt; 0.5 为均值回归特征;仅在拟合 R² &gt; 0.7 时采纳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默认权重 0(不参与)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最大回撤 MaxDD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整个窗口内峰到谷的最大跌幅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越小越好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回升天数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从最大回撤谷底涨回前期高点所需 K 线数;未回升则记 recovered=false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越短越好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当前回撤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现价相对历史最高点的跌幅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越小越好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波动叠加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下跌/上涨波动比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下行波动率 ÷ 上行波动率;对称时=1,用 −|比值−1| 计分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越接近 1 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波动叠加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最长/平均连跌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连续下跌 K 线的最大长度、平均长度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越短越好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波动收敛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收敛比 VolConv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最近 1/3 窗口的波动率 ÷ 全窗口波动率,衡量「现在是否比过去更安静」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越小越好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收益效率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Sortino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(年化收益 − 无风险利率) ÷ 年化下行波动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越大越好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收益效率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Calmar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年化收益 ÷ 最大回撤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越大越好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系统性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Beta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对基准 US500 的对数收益做回归的斜率,用 −|β−1| 计分(偏好贝塔≈1)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越接近 1 越好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滚动风险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20 日滚动回撤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以 20 个交易日(≈260 根 M30)为窗口在全程滑动,取所有窗口里最差的最大回撤;这是唯一的硬性门槛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越小越好(阈值 20%)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5478"/>
        </w:rPr>
        <w:t>2.3 归一化与打分</w:t>
      </w:r>
    </w:p>
    <w:p>
      <w:pPr>
        <w:pStyle w:val="ListNumber"/>
      </w:pPr>
      <w:r>
        <w:rPr>
          <w:rFonts w:ascii="微软雅黑" w:hAnsi="微软雅黑" w:eastAsia="微软雅黑"/>
        </w:rPr>
        <w:t>每个指标先在「有效标的集合」内做截面 Z-score 标准化,消除量纲差异;</w:t>
      </w:r>
    </w:p>
    <w:p>
      <w:pPr>
        <w:pStyle w:val="ListNumber"/>
      </w:pPr>
      <w:r>
        <w:rPr>
          <w:rFonts w:ascii="微软雅黑" w:hAnsi="微软雅黑" w:eastAsia="微软雅黑"/>
        </w:rPr>
        <w:t>把「越小越好」的指标取负号,统一成「越大越好」;</w:t>
      </w:r>
    </w:p>
    <w:p>
      <w:pPr>
        <w:pStyle w:val="ListNumber"/>
      </w:pPr>
      <w:r>
        <w:rPr>
          <w:rFonts w:ascii="微软雅黑" w:hAnsi="微软雅黑" w:eastAsia="微软雅黑"/>
        </w:rPr>
        <w:t>维度内按子权重合成子分数,维度间再按大权重合成总分。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权重(回测 EA 采用)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维度内构成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滚动回撤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0.30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20 日滚动回撤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均值回归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0.25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ADF t 值 0.60 + 半衰期 0.40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回撤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0.15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最大回撤 0.40 + 回升天数 0.40 + 当前回撤 0.20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收益效率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0.10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Sortino 0.50 + Calmar 0.50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波动收敛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0.05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收敛比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系统性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0.05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Beta 偏离度</w:t>
            </w:r>
          </w:p>
        </w:tc>
      </w:tr>
    </w:tbl>
    <w:p/>
    <w:p>
      <w:r>
        <w:rPr>
          <w:rFonts w:ascii="微软雅黑" w:hAnsi="微软雅黑" w:eastAsia="微软雅黑"/>
        </w:rPr>
        <w:t>原始脚本另有「波动叠加 0.10」与「量价 0.05」两个维度,回测 EA 为与选股脚本口径对齐只保留上表 6 个维度。</w:t>
      </w:r>
    </w:p>
    <w:p>
      <w:r>
        <w:rPr>
          <w:rFonts w:ascii="微软雅黑" w:hAnsi="微软雅黑" w:eastAsia="微软雅黑"/>
        </w:rPr>
        <w:t>注意:分数是截面相对分,增删池内标的会改变所有分数,不能跨池比较。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2.4 分类规则(整套体系的门槛)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类别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条件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一类 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回撤已回升(recovered)且 20 日滚动回撤 ≤ 20%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回测 EA 只买这一类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二类 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通过有效性检查但未满足一类条件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仅参与排序展示,不买入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无效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K 线 &lt; 30 根或关键统计量算不出来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剔除</w:t>
            </w:r>
          </w:p>
        </w:tc>
      </w:tr>
    </w:tbl>
    <w:p/>
    <w:p>
      <w:r>
        <w:rPr>
          <w:rFonts w:ascii="微软雅黑" w:hAnsi="微软雅黑" w:eastAsia="微软雅黑"/>
        </w:rPr>
        <w:t>2025 年一类的本质是「低波动 + 低贝塔的防御型标的」:一类中位滚动回撤 16.5% vs 二类 25.1%,中位 Beta 0.75 vs 1.45。</w:t>
      </w:r>
    </w:p>
    <w:p>
      <w:r>
        <w:rPr>
          <w:rFonts w:ascii="微软雅黑" w:hAnsi="微软雅黑" w:eastAsia="微软雅黑"/>
        </w:rPr>
        <w:t>代价同样明显:一类中位年化收益 16.4%,二类 33.4%;评分与年化收益的相关系数 −0.31。也就是说——这套评分是「稳」的排序,不是「赚」的排序。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2.5 已知口径问题</w:t>
      </w:r>
    </w:p>
    <w:p>
      <w:pPr>
        <w:pStyle w:val="ListBullet"/>
      </w:pPr>
      <w:r>
        <w:rPr>
          <w:rFonts w:ascii="微软雅黑" w:hAnsi="微软雅黑" w:eastAsia="微软雅黑"/>
        </w:rPr>
        <w:t>原脚本 CalcBarsPerYear(M30) 按 252×48 = 12,096 根/年折算(相当于 24 小时交易),而美股现货一年只有约 252×13 = 3,276 根。</w:t>
      </w:r>
    </w:p>
    <w:p>
      <w:pPr>
        <w:pStyle w:val="ListBullet"/>
      </w:pPr>
      <w:r>
        <w:rPr>
          <w:rFonts w:ascii="微软雅黑" w:hAnsi="微软雅黑" w:eastAsia="微软雅黑"/>
        </w:rPr>
        <w:t>由此年化收益与 Calmar 被放大约 3.69 倍、Sortino 约 1.92 倍。相对排名不变,但绝对值不可直接引用;回测 EA 里的 CalcBarsPerDay() 已按 13 根/日修正。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三、基本面因子体系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3.1 核心因子(参与过滤,7 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因子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口径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方向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可用率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ROE (TTM)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净利润 TTM ÷ 股东权益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92.6%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净利率 (TTM)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净利润 TTM ÷ 营收 TTM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88.9%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毛利率 (TTM)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(营收 − 营业成本) TTM ÷ 营收 TTM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75.3%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盈利波动率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近 8 个季度 EPS 的标准差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越小越好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92.6%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净负债 / EBITDA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(有息负债 − 现金) ÷ EBITDA(TTM)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越小越好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60.5%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利息保障倍数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营业利润 ÷ 利息费用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64.2%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股息率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前复权总收益 − 未复权价格收益(近 12 个月)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越大越好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96.3%</w:t>
            </w:r>
          </w:p>
        </w:tc>
      </w:tr>
    </w:tbl>
    <w:p/>
    <w:p>
      <w:r>
        <w:rPr>
          <w:rFonts w:ascii="微软雅黑" w:hAnsi="微软雅黑" w:eastAsia="微软雅黑"/>
        </w:rPr>
        <w:t>为什么是这 7 项:一类标的的风格是「大盘、低波动、防御型」,对应的是质量 + 盈利稳定性 + 低杠杆 + 股东回报,而不是成长或动量。</w:t>
      </w:r>
    </w:p>
    <w:p>
      <w:r>
        <w:rPr>
          <w:rFonts w:ascii="微软雅黑" w:hAnsi="微软雅黑" w:eastAsia="微软雅黑"/>
        </w:rPr>
        <w:t>扩展因子(同管线顺带产出、默认不参与过滤):ROA、FCF 利润率、现金转化率、应计利润、债务/资产。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3.2 数据源与可达性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数据源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用途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实测结果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SEC EDGAR (data.sec.gov)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三大报表 XBRL,主数据源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可用(UA 必须带邮箱)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SEC submissions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SIC 行业码 → 金融股豁免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stockanalysis.com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未复权/前复权价格 → 股息率、CFD 对照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可用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Yahoo Finance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原计划的交叉验证源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不可用(直连 403、走代理 429),改用 SEC 内部双算法校验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5478"/>
        </w:rPr>
        <w:t>3.3 因子预处理流程(9 步)</w:t>
      </w:r>
    </w:p>
    <w:p>
      <w:pPr>
        <w:pStyle w:val="ListNumber"/>
      </w:pPr>
      <w:r>
        <w:rPr>
          <w:rFonts w:ascii="微软雅黑" w:hAnsi="微软雅黑" w:eastAsia="微软雅黑"/>
        </w:rPr>
        <w:t>标的映射:池内代码去 .US 后缀 → SEC CIK(company_tickers.json,10,435 条映射)。</w:t>
      </w:r>
    </w:p>
    <w:p>
      <w:pPr>
        <w:pStyle w:val="ListNumber"/>
      </w:pPr>
      <w:r>
        <w:rPr>
          <w:rFonts w:ascii="微软雅黑" w:hAnsi="微软雅黑" w:eastAsia="微软雅黑"/>
        </w:rPr>
        <w:t>时点对齐:只用「报告日 ≤ 快照日」的数据,并用 basis_fy 标记哪些科目用了年报兜底。</w:t>
      </w:r>
    </w:p>
    <w:p>
      <w:pPr>
        <w:pStyle w:val="ListNumber"/>
      </w:pPr>
      <w:r>
        <w:rPr>
          <w:rFonts w:ascii="微软雅黑" w:hAnsi="微软雅黑" w:eastAsia="微软雅黑"/>
        </w:rPr>
        <w:t>口径统一:一律 TTM(最近 4 个离散季度),金额统一 USD,比率统一小数。</w:t>
      </w:r>
    </w:p>
    <w:p>
      <w:pPr>
        <w:pStyle w:val="ListNumber"/>
      </w:pPr>
      <w:r>
        <w:rPr>
          <w:rFonts w:ascii="微软雅黑" w:hAnsi="微软雅黑" w:eastAsia="微软雅黑"/>
        </w:rPr>
        <w:t>YTD 还原(关键):10-Q 只披露年初至今累计值时,对「同一起点、相邻两期」相减还原离散季度(季度窗口 75~125 天)。</w:t>
      </w:r>
    </w:p>
    <w:p>
      <w:pPr>
        <w:pStyle w:val="ListNumber"/>
      </w:pPr>
      <w:r>
        <w:rPr>
          <w:rFonts w:ascii="微软雅黑" w:hAnsi="微软雅黑" w:eastAsia="微软雅黑"/>
        </w:rPr>
        <w:t>异常值缩尾:每个因子在覆盖集内按 2% / 98% 分位缩尾(样本 &lt; 8 个不缩尾)。</w:t>
      </w:r>
    </w:p>
    <w:p>
      <w:pPr>
        <w:pStyle w:val="ListNumber"/>
      </w:pPr>
      <w:r>
        <w:rPr>
          <w:rFonts w:ascii="微软雅黑" w:hAnsi="微软雅黑" w:eastAsia="微软雅黑"/>
        </w:rPr>
        <w:t>方向统一:「越小越好」的因子取负,与价格侧的打分约定一致。</w:t>
      </w:r>
    </w:p>
    <w:p>
      <w:pPr>
        <w:pStyle w:val="ListNumber"/>
      </w:pPr>
      <w:r>
        <w:rPr>
          <w:rFonts w:ascii="微软雅黑" w:hAnsi="微软雅黑" w:eastAsia="微软雅黑"/>
        </w:rPr>
        <w:t>池内百分位:在「有值」的标的里算平均秩百分位,避免缺失值污染分布。</w:t>
      </w:r>
    </w:p>
    <w:p>
      <w:pPr>
        <w:pStyle w:val="ListNumber"/>
      </w:pPr>
      <w:r>
        <w:rPr>
          <w:rFonts w:ascii="微软雅黑" w:hAnsi="微软雅黑" w:eastAsia="微软雅黑"/>
        </w:rPr>
        <w:t>双算法校验:备用 XBRL 标签二次计算 + 值域合理性检查(越界记 *_out_of_range)。</w:t>
      </w:r>
    </w:p>
    <w:p>
      <w:pPr>
        <w:pStyle w:val="ListNumber"/>
      </w:pPr>
      <w:r>
        <w:rPr>
          <w:rFonts w:ascii="微软雅黑" w:hAnsi="微软雅黑" w:eastAsia="微软雅黑"/>
        </w:rPr>
        <w:t>综合分位:适用因子百分位的平均;适用项少于 3 项直接淘汰。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3.4 分级、过滤与行业豁免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级别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因子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取不到时怎么处理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硬因子(覆盖 ≥ 88%)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ROE、净利率、盈利波动率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判为缺失 → 淘汰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软因子(覆盖天生偏低)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毛利率、净负债/EBITDA、利息保障、股息率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视为口径不适用 → 只减少适用项数</w:t>
            </w:r>
          </w:p>
        </w:tc>
      </w:tr>
    </w:tbl>
    <w:p/>
    <w:p>
      <w:r>
        <w:rPr>
          <w:rFonts w:ascii="微软雅黑" w:hAnsi="微软雅黑" w:eastAsia="微软雅黑"/>
        </w:rPr>
        <w:t>过滤规则:有效标的须至少 3 项因子可用,综合分位 ≥ 0.40 保留(淘汰尾部约 40%),不设保底。</w:t>
      </w:r>
    </w:p>
    <w:p>
      <w:r>
        <w:rPr>
          <w:rFonts w:ascii="微软雅黑" w:hAnsi="微软雅黑" w:eastAsia="微软雅黑"/>
        </w:rPr>
        <w:t>行业豁免:金融与地产按 SEC SIC 6000–6799 判定(池内 8 只),天然没有毛利率/EBITDA/利息保障口径,这三项标记为不适用,改用 ROE + 净利率 + 盈利波动 + 股息率。</w:t>
      </w:r>
    </w:p>
    <w:p>
      <w:r>
        <w:rPr>
          <w:rFonts w:ascii="微软雅黑" w:hAnsi="微软雅黑" w:eastAsia="微软雅黑"/>
        </w:rPr>
        <w:t>与原有系统的「排异」处理:基本面不改变价格统计的打分逻辑,只做两件事——在打分之前先把池子过滤一遍,以及输出股息率供回测记账。所有预处理在 Python 侧一次做完,MQL5 只读最终结果,避免两套实现分歧。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四、组合构建与交易执行(CrossSectionalRankEA.mq5)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4.1 调仓流程</w:t>
      </w:r>
    </w:p>
    <w:p>
      <w:pPr>
        <w:pStyle w:val="ListNumber"/>
      </w:pPr>
      <w:r>
        <w:rPr>
          <w:rFonts w:ascii="微软雅黑" w:hAnsi="微软雅黑" w:eastAsia="微软雅黑"/>
        </w:rPr>
        <w:t>到调仓日(每 21 个日历日,且只在服务器时间 18:00–22:00 的美盘窗口内),用「仅过去」的数据重算全部标的的指标与分数;</w:t>
      </w:r>
    </w:p>
    <w:p>
      <w:pPr>
        <w:pStyle w:val="ListNumber"/>
      </w:pPr>
      <w:r>
        <w:rPr>
          <w:rFonts w:ascii="微软雅黑" w:hAnsi="微软雅黑" w:eastAsia="微软雅黑"/>
        </w:rPr>
        <w:t>先给现有持仓累计这一段的股息;</w:t>
      </w:r>
    </w:p>
    <w:p>
      <w:pPr>
        <w:pStyle w:val="ListNumber"/>
      </w:pPr>
      <w:r>
        <w:rPr>
          <w:rFonts w:ascii="微软雅黑" w:hAnsi="微软雅黑" w:eastAsia="微软雅黑"/>
        </w:rPr>
        <w:t>生成候选集:有效 且 属于「一类」(可选退化为全体);</w:t>
      </w:r>
    </w:p>
    <w:p>
      <w:pPr>
        <w:pStyle w:val="ListNumber"/>
      </w:pPr>
      <w:r>
        <w:rPr>
          <w:rFonts w:ascii="微软雅黑" w:hAnsi="微软雅黑" w:eastAsia="微软雅黑"/>
        </w:rPr>
        <w:t>排序:RankMode=0 按稳定性评分;RankMode=1 按区间收益(动量,回看 1500 根 M30);</w:t>
      </w:r>
    </w:p>
    <w:p>
      <w:pPr>
        <w:pStyle w:val="ListNumber"/>
      </w:pPr>
      <w:r>
        <w:rPr>
          <w:rFonts w:ascii="微软雅黑" w:hAnsi="微软雅黑" w:eastAsia="微软雅黑"/>
        </w:rPr>
        <w:t>取前 N=8 名,基础权重 1/8;单标的上限 25%,超限截顶后不回补;候选不足 8 只时,剩余权重留现金(不摊到已选标的上);</w:t>
      </w:r>
    </w:p>
    <w:p>
      <w:pPr>
        <w:pStyle w:val="ListNumber"/>
      </w:pPr>
      <w:r>
        <w:rPr>
          <w:rFonts w:ascii="微软雅黑" w:hAnsi="微软雅黑" w:eastAsia="微软雅黑"/>
        </w:rPr>
        <w:t>先平掉不在目标里的持仓,再对目标里手数偏离超过 30% 的做「平 − 开」调整。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4.2 手数与保证金</w:t>
      </w:r>
    </w:p>
    <w:p>
      <w:pPr>
        <w:pStyle w:val="ListBullet"/>
      </w:pPr>
      <w:r>
        <w:rPr>
          <w:rFonts w:ascii="微软雅黑" w:hAnsi="微软雅黑" w:eastAsia="微软雅黑"/>
        </w:rPr>
        <w:t>目标手数 = 净值 × 权重 ÷ (合约大小 × 价格)。实测 Pepperstone 美股 CFD 的合约大小 = 1 股/手,与 OrderCalcMargin 一致。</w:t>
      </w:r>
    </w:p>
    <w:p>
      <w:pPr>
        <w:pStyle w:val="ListBullet"/>
      </w:pPr>
      <w:r>
        <w:rPr>
          <w:rFonts w:ascii="微软雅黑" w:hAnsi="微软雅黑" w:eastAsia="微软雅黑"/>
        </w:rPr>
        <w:t>两道保护:单仓保证金预算(净值 × 权重 × 0.5)、可用保证金的 90% 全局闸。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4.3 股息与成本口径</w:t>
      </w:r>
    </w:p>
    <w:p>
      <w:pPr>
        <w:pStyle w:val="ListBullet"/>
      </w:pPr>
      <w:r>
        <w:rPr>
          <w:rFonts w:ascii="微软雅黑" w:hAnsi="微软雅黑" w:eastAsia="微软雅黑"/>
        </w:rPr>
        <w:t>MT5 策略测试器不会给 CFD 补股息调整(已用独立测试验证:CFD 报价 = 未复权股价,除权日照样跳空)。</w:t>
      </w:r>
    </w:p>
    <w:p>
      <w:pPr>
        <w:pStyle w:val="ListBullet"/>
      </w:pPr>
      <w:r>
        <w:rPr>
          <w:rFonts w:ascii="微软雅黑" w:hAnsi="微软雅黑" w:eastAsia="微软雅黑"/>
        </w:rPr>
        <w:t>EA 用「持仓市值 × 股息率 ÷ 365 × 持有天数」内部记账,单独写在运行报告里,不计入账户余额。</w:t>
      </w:r>
    </w:p>
    <w:p>
      <w:pPr>
        <w:pStyle w:val="ListBullet"/>
      </w:pPr>
      <w:r>
        <w:rPr>
          <w:rFonts w:ascii="微软雅黑" w:hAnsi="微软雅黑" w:eastAsia="微软雅黑"/>
        </w:rPr>
        <w:t>真实成本:手续费 2025 全年约 17 USD;隔夜利息 2025 全年 616~639 USD(年化 6.2%~6.4%)。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五、回测结果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5.1 2025 全年(样本内)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① 评分组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② 动量组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同池等权买入持有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净收益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+3.96%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+19.21%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+24.30%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净盈利 (USD)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+395.58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+1,920.74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毛利 / 毛损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+2,364.12 / −1,968.54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+3,286.08 / −1,365.34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盈利因子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1.20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2.41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夏普比率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0.47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1.63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最大净值回撤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2,005.17 (18.25%)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2,469.32 (22.18%)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平仓交易数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54(27 胜 27 负)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58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手续费 / 隔夜利息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−16.62 / −616.07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−18.58 / −639.48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预付款维持率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433%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429%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</w:rPr>
        <w:t>基准口径:同池 53 只在 2025.01.02 等权买入、持有到 2025.12.26,平均 +24.30%,中位数 +14.71%。</w:t>
      </w:r>
    </w:p>
    <w:p>
      <w:pPr>
        <w:pStyle w:val="Heading2"/>
      </w:pPr>
      <w:r>
        <w:rPr>
          <w:rFonts w:ascii="微软雅黑" w:hAnsi="微软雅黑" w:eastAsia="微软雅黑"/>
          <w:color w:val="2E5478"/>
        </w:rPr>
        <w:t>5.2 2026.07–2026.10(样本外,3 个月 / 5 次调仓)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③ 评分组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④ 动量组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同池等权买入持有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净收益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−1.14%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−2.99%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+2.66%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净盈利 (USD)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−114.20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−298.65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盈利因子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0.85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0.62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夏普比率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−0.52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−1.23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最大净值回撤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792.14 (7.50%)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876.44 (8.36%)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平仓交易数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22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手续费 / 隔夜利息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−11.90 / −173.99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−9.62 / −173.60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六、归因结论</w:t>
      </w:r>
    </w:p>
    <w:p>
      <w:pPr>
        <w:pStyle w:val="ListNumber"/>
      </w:pPr>
      <w:r>
        <w:rPr>
          <w:rFonts w:ascii="微软雅黑" w:hAnsi="微软雅黑" w:eastAsia="微软雅黑"/>
        </w:rPr>
        <w:t>排序方式差异巨大:2025 年同池同区间只换排序,动量 +19.21% vs 评分 +3.96%,相差 15.25pp(毛利 3,286 vs 2,364,毛损 −1,365 vs −1,969)。稳定性评分维度在 2025 是负贡献。</w:t>
      </w:r>
    </w:p>
    <w:p>
      <w:pPr>
        <w:pStyle w:val="ListNumber"/>
      </w:pPr>
      <w:r>
        <w:rPr>
          <w:rFonts w:ascii="微软雅黑" w:hAnsi="微软雅黑" w:eastAsia="微软雅黑"/>
        </w:rPr>
        <w:t>选股没有产生正超额:2025 动量落后等权持有 5.1pp、评分落后 20.3pp;样本外 −1.14% / −2.99% 对 +2.66%。样本内外方向一致——收益来自 beta,不是 alpha。</w:t>
      </w:r>
    </w:p>
    <w:p>
      <w:pPr>
        <w:pStyle w:val="ListNumber"/>
      </w:pPr>
      <w:r>
        <w:rPr>
          <w:rFonts w:ascii="微软雅黑" w:hAnsi="微软雅黑" w:eastAsia="微软雅黑"/>
        </w:rPr>
        <w:t>成本是大头:隔夜利息年化 6.2%~6.4%,而手续费仅约 0.17%/年。这解释了「毛利不低、净利润很薄」。</w:t>
      </w:r>
    </w:p>
    <w:p>
      <w:pPr>
        <w:pStyle w:val="ListNumber"/>
      </w:pPr>
      <w:r>
        <w:rPr>
          <w:rFonts w:ascii="微软雅黑" w:hAnsi="微软雅黑" w:eastAsia="微软雅黑"/>
        </w:rPr>
        <w:t>现金拖累只触发过一次:2025.04.17 只有 KO、TJX 两只通过一类过滤,当期只投 25%、留 75% 现金,量级约 0.5pp。</w:t>
      </w:r>
    </w:p>
    <w:p>
      <w:pPr>
        <w:pStyle w:val="ListNumber"/>
      </w:pPr>
      <w:r>
        <w:rPr>
          <w:rFonts w:ascii="微软雅黑" w:hAnsi="微软雅黑" w:eastAsia="微软雅黑"/>
        </w:rPr>
        <w:t>风控有效:最大净值回撤 7.5%~22%,预付款维持率始终 430% 以上,没有强平;仓位上限修复后也没有再出现集中押注。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七、风险与局限</w:t>
      </w:r>
    </w:p>
    <w:p>
      <w:pPr>
        <w:pStyle w:val="ListNumber"/>
      </w:pPr>
      <w:r>
        <w:rPr>
          <w:rFonts w:ascii="微软雅黑" w:hAnsi="微软雅黑" w:eastAsia="微软雅黑"/>
        </w:rPr>
        <w:t>样本外只有 3 个月、5 次调仓、22~25 笔交易,统计功效弱,只能作方向验证。</w:t>
      </w:r>
    </w:p>
    <w:p>
      <w:pPr>
        <w:pStyle w:val="ListNumber"/>
      </w:pPr>
      <w:r>
        <w:rPr>
          <w:rFonts w:ascii="微软雅黑" w:hAnsi="微软雅黑" w:eastAsia="微软雅黑"/>
        </w:rPr>
        <w:t>池子仅 53~55 只,且分数是截面相对分,增删标的会改变全部排名。</w:t>
      </w:r>
    </w:p>
    <w:p>
      <w:pPr>
        <w:pStyle w:val="ListNumber"/>
      </w:pPr>
      <w:r>
        <w:rPr>
          <w:rFonts w:ascii="微软雅黑" w:hAnsi="微软雅黑" w:eastAsia="微软雅黑"/>
        </w:rPr>
        <w:t>股息为 EA 内部估算,不计入账户余额;CFD 报价本身不含股息,真实是否补息取决于经纪商条款。</w:t>
      </w:r>
    </w:p>
    <w:p>
      <w:pPr>
        <w:pStyle w:val="ListNumber"/>
      </w:pPr>
      <w:r>
        <w:rPr>
          <w:rFonts w:ascii="微软雅黑" w:hAnsi="微软雅黑" w:eastAsia="微软雅黑"/>
        </w:rPr>
        <w:t>回测未模拟冲击成本,实盘滑点会进一步削弱结果。</w:t>
      </w:r>
    </w:p>
    <w:p>
      <w:pPr>
        <w:pStyle w:val="ListNumber"/>
      </w:pPr>
      <w:r>
        <w:rPr>
          <w:rFonts w:ascii="微软雅黑" w:hAnsi="微软雅黑" w:eastAsia="微软雅黑"/>
        </w:rPr>
        <w:t>原选股脚本的年化折算有 3.69 倍放大(回测 EA 已修正),引用早期报告里的「年化收益」列时必须注意。</w:t>
      </w:r>
    </w:p>
    <w:p>
      <w:pPr>
        <w:pStyle w:val="ListNumber"/>
      </w:pPr>
      <w:r>
        <w:rPr>
          <w:rFonts w:ascii="微软雅黑" w:hAnsi="微软雅黑" w:eastAsia="微软雅黑"/>
        </w:rPr>
        <w:t>排名对合约口径高度敏感(.US vs .US-24),换经纪商需要重新验证。</w:t>
      </w:r>
    </w:p>
    <w:p>
      <w:pPr>
        <w:pStyle w:val="ListNumber"/>
      </w:pPr>
      <w:r>
        <w:rPr>
          <w:rFonts w:ascii="微软雅黑" w:hAnsi="微软雅黑" w:eastAsia="微软雅黑"/>
        </w:rPr>
        <w:t>14 个指标 × 81 只标的未做多重检验校正,存在数据挖掘风险。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八、改进路线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优先级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动作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预期作用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每份结果固定与「同池等权买入持有」对照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避免把 beta 当 alpha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排序逻辑重做:做一版「动量 + 质量」混合排序与现有两种排序对照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评分维度目前是负贡献,要么重构要么删掉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调仓周期 21 → 42 / 63 天做敏感性测试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降低换手与隔夜利息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「不足 N 只就留现金」改成「按分数补齐 N 只」做对照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消除现金拖累,量化其影响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延长样本外区间(2026.10 之后)并做滚动窗口验证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提高样本外结论可信度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P2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把股息率做成组合层的权重调整(高息加权)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</w:rPr>
              <w:t>利用已验证的股息数据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