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42C4A"/>
          <w:sz w:val="40"/>
        </w:rPr>
        <w:t>截面策略归因报告(v2,终版)</w:t>
      </w:r>
    </w:p>
    <w:p>
      <w:r>
        <w:rPr>
          <w:rFonts w:ascii="微软雅黑" w:hAnsi="微软雅黑" w:eastAsia="微软雅黑"/>
          <w:b w:val="0"/>
          <w:i/>
        </w:rPr>
        <w:t>2026-10-13 ｜ 全部对照回测(含多起点滚动、闸门/扩池实验) + 2 个内置基准 ｜ 口径:Pepperstone-Demo / MCD.US-24 M30 / 入金 10,000 USD / 按资金计算利润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0. 摘要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2025 全年(池 53 只、21 天调仓):纯动量 +26.08%、混合(w=0.5) +21.97%、同池等权基准 +16.22%;自检 w=0 与纯动量逐位一致。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调仓周期敏感性(纯动量):21/42/63 天 = +26.08% / +9.94% / +21.05% → </w:t>
      </w:r>
      <w:r>
        <w:rPr>
          <w:rFonts w:ascii="微软雅黑" w:hAnsi="微软雅黑" w:eastAsia="微软雅黑"/>
          <w:b/>
          <w:i w:val="0"/>
        </w:rPr>
        <w:t>42 天档跑输基准 6.3pp</w:t>
      </w:r>
      <w:r>
        <w:rPr>
          <w:rFonts w:ascii="微软雅黑" w:hAnsi="微软雅黑" w:eastAsia="微软雅黑"/>
          <w:b w:val="0"/>
          <w:i w:val="0"/>
        </w:rPr>
        <w:t>。2025 的超额高度依赖周期选择。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样本外 2026.07–10(池 55 只):纯动量 −2.99%、混合 −3.10%、基准 −0.13% → 超额没有守住。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★ </w:t>
      </w:r>
      <w:r>
        <w:rPr>
          <w:rFonts w:ascii="微软雅黑" w:hAnsi="微软雅黑" w:eastAsia="微软雅黑"/>
          <w:b/>
          <w:i w:val="0"/>
        </w:rPr>
        <w:t>多起点滚动回测(4 个起点 × 12 个月,前向关闭,窄池+闸门):2 赢 2 输,按预设规则不达标</w:t>
      </w:r>
      <w:r>
        <w:rPr>
          <w:rFonts w:ascii="微软雅黑" w:hAnsi="微软雅黑" w:eastAsia="微软雅黑"/>
          <w:b w:val="0"/>
          <w:i w:val="0"/>
        </w:rPr>
        <w:t xml:space="preserve"> —— 覆盖 2026 年的窗口全部跑输(−17.3pp / −11.4pp),四项指标同时落后。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</w:rPr>
        <w:t>市场闸门:有效但不充分</w:t>
      </w:r>
      <w:r>
        <w:rPr>
          <w:rFonts w:ascii="微软雅黑" w:hAnsi="微软雅黑" w:eastAsia="微软雅黑"/>
          <w:b w:val="0"/>
          <w:i w:val="0"/>
        </w:rPr>
        <w:t>。2025 收益持平而回撤 22.18%→13.42%、夏普 2.11→2.79;2026 段减损 3.3~7pp,但没翻盘。</w:t>
      </w:r>
      <w:r>
        <w:rPr>
          <w:rFonts w:ascii="微软雅黑" w:hAnsi="微软雅黑" w:eastAsia="微软雅黑"/>
          <w:b/>
          <w:i w:val="0"/>
        </w:rPr>
        <w:t>扩大池子明确有害(−7.68pp),已回退。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质量倾斜(fund_pct 加权)在样本内外均为负贡献(−4.11pp / −0.11pp)。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「一类不足时从二类补足」的净贡献 = +6.87pp(21 天档),在 42/63 天档从未触发。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1. 测试设置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项目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 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2026H2 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区间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2025.01.01 – 2025.12.31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2026.07.01 – 2026.10.08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基本面快照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fundamentals_2024-12-31.csv(对应 2024Q3 财报)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fundamentals_2026-06-30.csv(对应 2026Q1 财报)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池子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53 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55 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品种 / 周期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MCD.US-24 / M30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同左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模式 / 延迟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每笔订单基于真实点位 / 1 毫秒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同左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入金 / 杠杆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10,000 USD / 1:100,按资金计算利润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同左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策略参数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TopN=8、等权、单标的上限 25%(截顶不回补)、仅一类优先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同左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2. 结果对照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2.1 2025 全年(21 天调仓)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混合 w=0.5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自检 w=0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基准:同池等权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净收益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+21.97%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净盈利 (USD)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+2,607.93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+2,196.52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+2,607.93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+1,621.86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毛利 / 毛损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+3,709.18 / −1,101.25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+3,740.17 / −1,543.65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同纯动量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+2,417.13 / −795.27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2.42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3.04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1.78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1.54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2,469.32 (22.18%)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2,483.55 (22.56%)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2,469.32 (22.18%)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2,349.91 (22.56%)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平仓交易(胜率)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59 (62.7%)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57 (56.1%)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59 (62.7%)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87 (62.1%)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手续费 / 隔夜利息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−19.76 / −690.54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−18.54 / −684.05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同纯动量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−6.66 / −633.87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预付款维持率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429%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427%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429%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2.2 调仓周期敏感性(2025,纯动量,单跑参数集)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调仓周期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二类补足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不足留现金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成交笔数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相对基准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21 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+19.21%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118 / 116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+9.9pp / +3.0pp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42 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+9.94%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+9.94%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88 / 88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−6.3pp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63 天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+21.05%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+21.05%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64 / 64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+4.8pp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42/63 天两列完全相同 → 这两个节奏下每次调仓都至少有 8 只一类合格,补足规则未触发。该表为净值口径(这几次运行未保存测试器报告,因此没有盈利因子/回撤列)。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2.3 样本外 2026.07–10(21 天调仓)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混合 w=0.5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基准:同池等权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−2.99%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−3.10%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−0.13%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净盈利 (USD)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−298.65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−310.35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−13.06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毛利 / 毛损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+479.80 / −778.45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+403.66 / −714.01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+633.96 / −647.02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0.62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0.57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0.98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−1.23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−1.21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−0.09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876.44 (8.36%)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887.20 (8.49%)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527.86 (5.07%)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平仓交易(胜率)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 (50.0%)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21 (42.9%)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64 (45.3%)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手续费 / 隔夜利息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−9.62 / −173.60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−9.38 / −169.77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−4.30 / −161.79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2.4 收益风险比对照(策略 vs 无策略)</w:t>
      </w:r>
    </w:p>
    <w:p>
      <w:r>
        <w:rPr>
          <w:rFonts w:ascii="微软雅黑" w:hAnsi="微软雅黑" w:eastAsia="微软雅黑"/>
          <w:b w:val="0"/>
          <w:i w:val="0"/>
        </w:rPr>
        <w:t>2025 全年: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纯动量(策略)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基准(无策略)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策略 / 基准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总收益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1.61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22.18%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22.56%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0.98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 / 回撤比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0.72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1.64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1.37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Sortino(日净值估算)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2.83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1.86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1.52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年化波动率(日净值估算)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68.4%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61.2%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1.12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3.04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1.11 ×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单位风险收益:收益/回撤比 1.18 vs 0.72(1.64×),夏普 2.11 vs 1.54(1.37×),Sortino 2.83 vs 1.86(1.52×);波动只高 12%。</w:t>
      </w:r>
      <w:r>
        <w:rPr>
          <w:rFonts w:ascii="微软雅黑" w:hAnsi="微软雅黑" w:eastAsia="微软雅黑"/>
          <w:b/>
          <w:i w:val="0"/>
        </w:rPr>
        <w:t>2025 的超额在风险调整后仍然成立。</w:t>
      </w:r>
    </w:p>
    <w:p>
      <w:r>
        <w:rPr>
          <w:rFonts w:ascii="微软雅黑" w:hAnsi="微软雅黑" w:eastAsia="微软雅黑"/>
          <w:b w:val="0"/>
          <w:i w:val="0"/>
        </w:rPr>
        <w:t>样本外 2026.07–10: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纯动量(策略)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基准(无策略)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策略 / 基准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总收益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−2.99%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−0.13%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8.36%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5.07%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1.65 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 / 回撤比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−0.36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−0.03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全面落后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−1.23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−0.09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全面落后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0.62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0.98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全面落后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>样本外策略在收益、回撤、收益/回撤比、夏普、盈利因子上</w:t>
      </w:r>
      <w:r>
        <w:rPr>
          <w:rFonts w:ascii="微软雅黑" w:hAnsi="微软雅黑" w:eastAsia="微软雅黑"/>
          <w:b/>
          <w:i w:val="0"/>
        </w:rPr>
        <w:t>全部落后于无策略基准</w:t>
      </w:r>
      <w:r>
        <w:rPr>
          <w:rFonts w:ascii="微软雅黑" w:hAnsi="微软雅黑" w:eastAsia="微软雅黑"/>
          <w:b w:val="0"/>
          <w:i w:val="0"/>
        </w:rPr>
        <w:t>。</w:t>
      </w:r>
    </w:p>
    <w:p>
      <w:r>
        <w:rPr>
          <w:rFonts w:ascii="微软雅黑" w:hAnsi="微软雅黑" w:eastAsia="微软雅黑"/>
          <w:b w:val="0"/>
          <w:i w:val="0"/>
        </w:rPr>
        <w:t>口径说明:波动率与 Sortino 由测试器导出的日净值序列估算(净值只在成交日记录,因此绝对值偏高);收益/回撤比 = 区间收益 ÷ 最大净值回撤;策略/基准 &gt; 1 表示策略更优。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2.5 多起点滚动回测(4 个起点 × 12 个月;前向=禁用)</w:t>
      </w:r>
    </w:p>
    <w:p>
      <w:r>
        <w:rPr>
          <w:rFonts w:ascii="微软雅黑" w:hAnsi="微软雅黑" w:eastAsia="微软雅黑"/>
          <w:b w:val="0"/>
          <w:i w:val="0"/>
        </w:rPr>
        <w:t xml:space="preserve">设计:4 个起点、每个 12 个月;策略 = </w:t>
      </w:r>
      <w:r>
        <w:rPr>
          <w:rFonts w:ascii="微软雅黑" w:hAnsi="微软雅黑" w:eastAsia="微软雅黑"/>
          <w:b/>
          <w:i w:val="0"/>
        </w:rPr>
        <w:t>窄池 53 只 + 纯动量 + 市场闸门(200 日均线,风险时空仓)</w:t>
      </w:r>
      <w:r>
        <w:rPr>
          <w:rFonts w:ascii="微软雅黑" w:hAnsi="微软雅黑" w:eastAsia="微软雅黑"/>
          <w:b w:val="0"/>
          <w:i w:val="0"/>
        </w:rPr>
        <w:t>,基准 = 同池等权、同参数、同成本。判定规则事先写死:≥3/4 个窗口跑赢才继续投入。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起点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窗口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策略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无策略(同池等权)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判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2025.01–2025.12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+26.93%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+10.71pp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2025.04–2026.03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+32.83%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+17.52%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+15.31pp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2025.07–2026.06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+5.12%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+22.38%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−17.26pp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输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2025.10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2025.10–2026.09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+0.48%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+11.84%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−11.36pp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输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</w:rPr>
        <w:t>结果:2 赢 2 输 → 按预设规则不达标。</w:t>
      </w:r>
    </w:p>
    <w:p>
      <w:r>
        <w:rPr>
          <w:rFonts w:ascii="微软雅黑" w:hAnsi="微软雅黑" w:eastAsia="微软雅黑"/>
          <w:b w:val="0"/>
          <w:i w:val="0"/>
        </w:rPr>
        <w:t>逐窗口风险对照(策略 / 无策略):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指标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2025.01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2025.07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2025.10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净收益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+26.93% / +16.22%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+32.83% / +17.52%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+5.12% / +22.38%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+0.48% / +11.84%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最大净值回撤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13.42% / 22.56%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11.87% / 14.94%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18.01% / </w:t>
            </w:r>
            <w:r>
              <w:rPr>
                <w:rFonts w:ascii="微软雅黑" w:hAnsi="微软雅黑" w:eastAsia="微软雅黑"/>
                <w:b/>
                <w:i w:val="0"/>
              </w:rPr>
              <w:t>10.94%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19.21% / </w:t>
            </w:r>
            <w:r>
              <w:rPr>
                <w:rFonts w:ascii="微软雅黑" w:hAnsi="微软雅黑" w:eastAsia="微软雅黑"/>
                <w:b/>
                <w:i w:val="0"/>
              </w:rPr>
              <w:t>10.87%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收益 / 回撤比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2.01 / 0.72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2.77 / 1.17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0.28 / </w:t>
            </w:r>
            <w:r>
              <w:rPr>
                <w:rFonts w:ascii="微软雅黑" w:hAnsi="微软雅黑" w:eastAsia="微软雅黑"/>
                <w:b/>
                <w:i w:val="0"/>
              </w:rPr>
              <w:t>2.05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0.03 / </w:t>
            </w:r>
            <w:r>
              <w:rPr>
                <w:rFonts w:ascii="微软雅黑" w:hAnsi="微软雅黑" w:eastAsia="微软雅黑"/>
                <w:b/>
                <w:i w:val="0"/>
              </w:rPr>
              <w:t>1.09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夏普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2.79 / 1.54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3.15 / 1.66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0.51 / </w:t>
            </w:r>
            <w:r>
              <w:rPr>
                <w:rFonts w:ascii="微软雅黑" w:hAnsi="微软雅黑" w:eastAsia="微软雅黑"/>
                <w:b/>
                <w:i w:val="0"/>
              </w:rPr>
              <w:t>2.77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0.05 / </w:t>
            </w:r>
            <w:r>
              <w:rPr>
                <w:rFonts w:ascii="微软雅黑" w:hAnsi="微软雅黑" w:eastAsia="微软雅黑"/>
                <w:b/>
                <w:i w:val="0"/>
              </w:rPr>
              <w:t>1.59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盈利因子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4.64 / 3.04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3.39 / 3.11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1.15 / </w:t>
            </w:r>
            <w:r>
              <w:rPr>
                <w:rFonts w:ascii="微软雅黑" w:hAnsi="微软雅黑" w:eastAsia="微软雅黑"/>
                <w:b/>
                <w:i w:val="0"/>
              </w:rPr>
              <w:t>3.28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 xml:space="preserve">1.02 / </w:t>
            </w:r>
            <w:r>
              <w:rPr>
                <w:rFonts w:ascii="微软雅黑" w:hAnsi="微软雅黑" w:eastAsia="微软雅黑"/>
                <w:b/>
                <w:i w:val="0"/>
              </w:rPr>
              <w:t>2.07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规律:只要窗口覆盖 2026 年上半年及以后,策略就跑输,而且收益、回撤、收益/回撤比、夏普</w:t>
      </w:r>
      <w:r>
        <w:rPr>
          <w:rFonts w:ascii="微软雅黑" w:hAnsi="微软雅黑" w:eastAsia="微软雅黑"/>
          <w:b/>
          <w:i w:val="0"/>
        </w:rPr>
        <w:t>四项同时落后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2.6 两个改进的对照实验(2025 全年,前向=禁用)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配置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净收益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净盈利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盈利因子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夏普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最大净值回撤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窄池(53)无闸门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+26.08%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2,607.93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3.37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2.11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22.18%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窄池(53)+ 市场闸门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+26.93%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2,692.52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4.64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2.79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13.42%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宽池(63)无闸门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+22.03%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2,202.81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2.20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22.80%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宽池(63)+ 市场闸门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+19.25%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1,925.14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2.38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1.71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16.29%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基准:窄池等权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+16.22%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1,621.86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3.04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22.56%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基准:宽池等权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+20.70%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2,070.06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3.67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1.50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22.11%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/>
          <w:i w:val="0"/>
        </w:rPr>
        <w:t>市场闸门:收益持平、风险大幅改善 → 采纳。</w:t>
      </w:r>
      <w:r>
        <w:rPr>
          <w:rFonts w:ascii="微软雅黑" w:hAnsi="微软雅黑" w:eastAsia="微软雅黑"/>
          <w:b w:val="0"/>
          <w:i w:val="0"/>
        </w:rPr>
        <w:t xml:space="preserve"> 窄池 2025 收益 +0.85pp,回撤 22.18% → </w:t>
      </w:r>
      <w:r>
        <w:rPr>
          <w:rFonts w:ascii="微软雅黑" w:hAnsi="微软雅黑" w:eastAsia="微软雅黑"/>
          <w:b/>
          <w:i w:val="0"/>
        </w:rPr>
        <w:t>13.42%</w:t>
      </w:r>
      <w:r>
        <w:rPr>
          <w:rFonts w:ascii="微软雅黑" w:hAnsi="微软雅黑" w:eastAsia="微软雅黑"/>
          <w:b w:val="0"/>
          <w:i w:val="0"/>
        </w:rPr>
        <w:t xml:space="preserve">,夏普 2.11 → </w:t>
      </w:r>
      <w:r>
        <w:rPr>
          <w:rFonts w:ascii="微软雅黑" w:hAnsi="微软雅黑" w:eastAsia="微软雅黑"/>
          <w:b/>
          <w:i w:val="0"/>
        </w:rPr>
        <w:t>2.79</w:t>
      </w:r>
      <w:r>
        <w:rPr>
          <w:rFonts w:ascii="微软雅黑" w:hAnsi="微软雅黑" w:eastAsia="微软雅黑"/>
          <w:b w:val="0"/>
          <w:i w:val="0"/>
        </w:rPr>
        <w:t xml:space="preserve">,盈利因子 3.37 → </w:t>
      </w:r>
      <w:r>
        <w:rPr>
          <w:rFonts w:ascii="微软雅黑" w:hAnsi="微软雅黑" w:eastAsia="微软雅黑"/>
          <w:b/>
          <w:i w:val="0"/>
        </w:rPr>
        <w:t>4.64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</w:rPr>
        <w:t>扩大池子:明确有害 → 回退。</w:t>
      </w:r>
      <w:r>
        <w:rPr>
          <w:rFonts w:ascii="微软雅黑" w:hAnsi="微软雅黑" w:eastAsia="微软雅黑"/>
          <w:b w:val="0"/>
          <w:i w:val="0"/>
        </w:rPr>
        <w:t xml:space="preserve"> 同样开闸门,窄池 +26.93% vs 宽池 +19.25%(</w:t>
      </w:r>
      <w:r>
        <w:rPr>
          <w:rFonts w:ascii="微软雅黑" w:hAnsi="微软雅黑" w:eastAsia="微软雅黑"/>
          <w:b/>
          <w:i w:val="0"/>
        </w:rPr>
        <w:t>−7.68pp</w:t>
      </w:r>
      <w:r>
        <w:rPr>
          <w:rFonts w:ascii="微软雅黑" w:hAnsi="微软雅黑" w:eastAsia="微软雅黑"/>
          <w:b w:val="0"/>
          <w:i w:val="0"/>
        </w:rPr>
        <w:t>);宽池无闸门(+22.03%)也差于窄池(+26.08%)。新增的 10~12 只(质量分 0.30~0.40)稀释了动量信号。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</w:rPr>
        <w:t xml:space="preserve">闸门的边际贡献随窗口变化:2025.01 +0.85pp、2025.04 −0.58pp、2025.07 </w:t>
      </w:r>
      <w:r>
        <w:rPr>
          <w:rFonts w:ascii="微软雅黑" w:hAnsi="微软雅黑" w:eastAsia="微软雅黑"/>
          <w:b/>
          <w:i w:val="0"/>
        </w:rPr>
        <w:t>+3.27pp</w:t>
      </w:r>
      <w:r>
        <w:rPr>
          <w:rFonts w:ascii="微软雅黑" w:hAnsi="微软雅黑" w:eastAsia="微软雅黑"/>
          <w:b w:val="0"/>
          <w:i w:val="0"/>
        </w:rPr>
        <w:t>、2025.10 ≈+7pp(该窗口基线为分段合成值,仅参考)。</w:t>
      </w:r>
      <w:r>
        <w:rPr>
          <w:rFonts w:ascii="微软雅黑" w:hAnsi="微软雅黑" w:eastAsia="微软雅黑"/>
          <w:b/>
          <w:i w:val="0"/>
        </w:rPr>
        <w:t>下跌段确实受益,但不足以翻盘。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3. 归因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3.1 排序方式:动量有效,质量倾斜有害</w:t>
      </w:r>
    </w:p>
    <w:p>
      <w:r>
        <w:rPr>
          <w:rFonts w:ascii="微软雅黑" w:hAnsi="微软雅黑" w:eastAsia="微软雅黑"/>
          <w:b w:val="0"/>
          <w:i w:val="0"/>
        </w:rPr>
        <w:t>2025 年同池同区间只换排序:纯动量 +26.08% vs 混合 +21.97%,差 −4.11pp。混合组毛利更高(3,740 vs 3,709),但毛损从 −1,101 扩大到 −1,544,盈利因子 3.37 → 2.42。样本外同样为负(−3.10% vs −2.99%)。</w:t>
      </w:r>
    </w:p>
    <w:p>
      <w:r>
        <w:rPr>
          <w:rFonts w:ascii="微软雅黑" w:hAnsi="微软雅黑" w:eastAsia="微软雅黑"/>
          <w:b w:val="0"/>
          <w:i w:val="0"/>
        </w:rPr>
        <w:t>机制解释:动量分位本身已经隐含「近期跑赢」,而 fund_pct(质量/股息综合分位)在 2025 这个池子上与后续收益没有正相关。叠加它等于给排序加了一层噪声,把部分高动量标的挤出前 8 名。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3.2 调仓周期是最大的一阶变量</w:t>
      </w:r>
    </w:p>
    <w:p>
      <w:r>
        <w:rPr>
          <w:rFonts w:ascii="微软雅黑" w:hAnsi="微软雅黑" w:eastAsia="微软雅黑"/>
          <w:b w:val="0"/>
          <w:i w:val="0"/>
        </w:rPr>
        <w:t>同一排序、同一池子,只改调仓间隔:21 天 +26.08%、42 天 +9.94%、63 天 +21.05%。非单调,且 42 天档直接跑输基准。</w:t>
      </w:r>
    </w:p>
    <w:p>
      <w:r>
        <w:rPr>
          <w:rFonts w:ascii="微软雅黑" w:hAnsi="微软雅黑" w:eastAsia="微软雅黑"/>
          <w:b w:val="0"/>
          <w:i w:val="0"/>
        </w:rPr>
        <w:t>原因是可以量化的:调仓间隔同时改变 (a) 每次入选的 8 只标的、(b) 交易与融资成本、(c) 对 2025.04 急跌反弹的暴露时点。21 天档恰好既避开了 4 月的高位、又完整吃到反弹;42 天档的两个时点落在最差的位置。</w:t>
      </w:r>
    </w:p>
    <w:p>
      <w:r>
        <w:rPr>
          <w:rFonts w:ascii="微软雅黑" w:hAnsi="微软雅黑" w:eastAsia="微软雅黑"/>
          <w:b/>
          <w:i w:val="0"/>
        </w:rPr>
        <w:t>结论:2025 年「跑赢基准 9.9pp」只在 21 天档成立,不能当作稳定 alpha;换周期即失效。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3.3 「二类补足」规则:精确可归因的 +6.87pp</w:t>
      </w:r>
    </w:p>
    <w:p>
      <w:r>
        <w:rPr>
          <w:rFonts w:ascii="微软雅黑" w:hAnsi="微软雅黑" w:eastAsia="微软雅黑"/>
          <w:b w:val="0"/>
          <w:i w:val="0"/>
        </w:rPr>
        <w:t>21 天档下,把「一类不足 8 只时留现金」改为「从二类按分数补足到 8 只」,净收益从 +19.21% 提升到 +26.08%。生效时点唯一:2025.04.17 —— 旧规则仅 2 只一类合格、只投 25% 净值;新规则补足到 8 只、接近满仓,吃到了 4 月急跌后的反弹。</w:t>
      </w:r>
    </w:p>
    <w:p>
      <w:r>
        <w:rPr>
          <w:rFonts w:ascii="微软雅黑" w:hAnsi="微软雅黑" w:eastAsia="微软雅黑"/>
          <w:b w:val="0"/>
          <w:i w:val="0"/>
        </w:rPr>
        <w:t>同一配置的两次运行(旧版 EA 的动量组 +19.21%、v2 的 21d_cash 组 +19.21%)逐位一致,说明归因干净。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3.4 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区间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隔夜利息(占入金)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手续费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年化成本估计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 全年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−634 ~ −691(6.3%~6.9%)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−6.7 ~ −19.8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约 6.5% / 年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2026H2(3 个月)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−162 ~ −174(1.6%~1.7%)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−4.3 ~ −9.6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约 6.6% / 年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成本主要由 CFD 的隔夜融资利息构成,手续费可忽略。这意味着策略的年化毛利必须先扣掉约 6.5% 才可比。</w:t>
      </w:r>
    </w:p>
    <w:p>
      <w:pPr>
        <w:pStyle w:val="Heading2"/>
      </w:pPr>
      <w:r>
        <w:rPr>
          <w:rFonts w:ascii="微软雅黑" w:hAnsi="微软雅黑" w:eastAsia="微软雅黑"/>
          <w:color w:val="2E5478"/>
          <w:sz w:val="25"/>
        </w:rPr>
        <w:t>3.5 基准口径修正</w:t>
      </w:r>
    </w:p>
    <w:p>
      <w:r>
        <w:rPr>
          <w:rFonts w:ascii="微软雅黑" w:hAnsi="微软雅黑" w:eastAsia="微软雅黑"/>
          <w:b w:val="0"/>
          <w:i w:val="0"/>
        </w:rPr>
        <w:t>v1 阶段用的是「按价格算的同池等权买入持有」,2025 为 +24.30%,不扣任何成本;本版基准由 EA 以同一份成本与同一调仓节奏运行,2025 为 +16.22%。两者差 8.08pp 就是融资成本与调仓摩擦。</w:t>
      </w:r>
      <w:r>
        <w:rPr>
          <w:rFonts w:ascii="微软雅黑" w:hAnsi="微软雅黑" w:eastAsia="微软雅黑"/>
          <w:b/>
          <w:i w:val="0"/>
        </w:rPr>
        <w:t>所有「是否跑赢基准」的结论都必须用后者。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4. 结论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稳定性评分维度退场是正确决定:它在 2025 是 −15.25pp 的相对贡献,在 2026H2 也没有优势。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质量倾斜(fund_pct 加权)应降级为可选:两段区间一致为负贡献。默认排序建议改回纯动量(RankMode=0)。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2025 的超额不稳健:只在 21 天调仓档位成立(+9.9pp),42 天档反而跑输 6.3pp。在解决周期敏感性之前,不应对该策略的年化超额下定量结论。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样本外(2026H2)两个策略各亏约 3%,而基准只亏 0.13% —— 超额没有延续。三个月、5 次调仓的样本量也不足以证明或证伪,需要更长的样本外区间。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「二类补足」是本次唯一稳定为正的规则改动:+6.87pp,来源清晰、可复现,建议保留。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成本口径必须统一:同一时期的隔夜利息约 6.5%/年,是策略净收益的最大单一侵蚀项。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收益风险比维度的结论与收益率口径一致:2025 风险调整后占优(收益/回撤比 1.64×、夏普 1.37×),样本外全面落后 —— 说明「样本内有效、样本外失效」不是风险度量方式造成的假象。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多起点滚动回测(4 起点 × 12 个月,前向=禁用,窄池+闸门)2 赢 2 输:覆盖 2026 年的窗口全部跑输,判定为</w:t>
      </w:r>
      <w:r>
        <w:rPr>
          <w:rFonts w:ascii="微软雅黑" w:hAnsi="微软雅黑" w:eastAsia="微软雅黑"/>
          <w:b/>
          <w:i w:val="0"/>
        </w:rPr>
        <w:t>未通过稳健性检验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 xml:space="preserve">市场闸门把 2025 的回撤从 22.18% 压到 13.42%、夏普从 2.11 提到 2.79,并在 2026 段减损 3.3~7pp —— </w:t>
      </w:r>
      <w:r>
        <w:rPr>
          <w:rFonts w:ascii="微软雅黑" w:hAnsi="微软雅黑" w:eastAsia="微软雅黑"/>
          <w:b/>
          <w:i w:val="0"/>
        </w:rPr>
        <w:t>方向正确,但只能减损、不能翻盘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扩大标的池(53→63)在 2025 实测 −7.68pp,</w:t>
      </w:r>
      <w:r>
        <w:rPr>
          <w:rFonts w:ascii="微软雅黑" w:hAnsi="微软雅黑" w:eastAsia="微软雅黑"/>
          <w:b/>
          <w:i w:val="0"/>
        </w:rPr>
        <w:t>已回退</w:t>
      </w:r>
      <w:r>
        <w:rPr>
          <w:rFonts w:ascii="微软雅黑" w:hAnsi="微软雅黑" w:eastAsia="微软雅黑"/>
          <w:b w:val="0"/>
          <w:i w:val="0"/>
        </w:rPr>
        <w:t>;新进来的低质量分标的稀释了动量信号。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策略的风险特征是高 beta 暴露(满仓 8 只单边多头):2025 普涨时赢,2026 下跌时收益、回撤、收益/回撤比、夏普四项同时劣化。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5. 局限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样本外只有 3 个月 / 5 次调仓 / 21~22 笔交易,统计功效弱。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周期敏感性表为净值口径,缺少盈利因子与回撤(相关运行未保存报告)。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池子仅 53~55 只,截面排序分对池子构成敏感;增删标的会改变全部名次。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股息为 EA 内部估算,不计入余额;是否补息取决于经纪商条款。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未模拟冲击成本与滑点;基准组有 53 个持仓,实盘成本会更高。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</w:rPr>
        <w:t>2025 年 4 月的极端行情对结论影响很大(补足规则的增益全部来自那一次),存在单一时点主导的风险。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9"/>
        </w:rPr>
        <w:t>6. 优化建议(按优先级)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优先级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建议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依据 / 验收标准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采用当前最优配置:窄池 53 只 + 纯动量 + 市场闸门</w:t>
            </w:r>
            <w:r>
              <w:rPr>
                <w:rFonts w:ascii="微软雅黑" w:hAnsi="微软雅黑" w:eastAsia="微软雅黑"/>
                <w:b w:val="0"/>
                <w:i w:val="0"/>
              </w:rPr>
              <w:t>(200 日线 / 风险时空仓)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2025 收益持平(+26.93% vs +26.08%)、回撤 22.18%→13.42%、夏普 2.11→2.79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暂停组合层的参数优化</w:t>
            </w:r>
            <w:r>
              <w:rPr>
                <w:rFonts w:ascii="微软雅黑" w:hAnsi="微软雅黑" w:eastAsia="微软雅黑"/>
                <w:b w:val="0"/>
                <w:i w:val="0"/>
              </w:rPr>
              <w:t>(排序、TopN、权重上限、池子阈值)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多起点 2 赢 2 输;继续调参只会在同一批数据上过拟合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</w:rPr>
              <w:t>闸门参数扫描(进行中)</w:t>
            </w:r>
            <w:r>
              <w:rPr>
                <w:rFonts w:ascii="微软雅黑" w:hAnsi="微软雅黑" w:eastAsia="微软雅黑"/>
                <w:b w:val="0"/>
                <w:i w:val="0"/>
              </w:rPr>
              <w:t>:均线 100 / 150 / 200 / 250 × 仓位系数 0 / 0.5,这是</w:t>
            </w:r>
            <w:r>
              <w:rPr>
                <w:rFonts w:ascii="微软雅黑" w:hAnsi="微软雅黑" w:eastAsia="微软雅黑"/>
                <w:b/>
                <w:i w:val="0"/>
              </w:rPr>
              <w:t>唯一允许的调参方向</w:t>
            </w:r>
            <w:r>
              <w:rPr>
                <w:rFonts w:ascii="微软雅黑" w:hAnsi="微软雅黑" w:eastAsia="微软雅黑"/>
                <w:b w:val="0"/>
                <w:i w:val="0"/>
              </w:rPr>
              <w:t>;必须在 4 个起点上同时验收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闸门是唯一在收益与风险两端都不亏的改动;200 日线是最慢的一档,2026 的下跌开始得更早,更快的均线可能更早离场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回退扩池:`fund_keep` 阈值保持 0.40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实测 −7.68pp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「收益 / 回撤比」作为固定对照口径(已完成)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只看收益率会掩盖风险差异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若要在下跌段反超基准,需要换思路(个券级风控 / 降低单边暴露 / 对冲),而不是继续调参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2026 段仍落后 11~17pp,闸门只减损 3~8pp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重做质量分(硬因子 / 提高区分度)、基本面改季频快照按公布日切换、成本优化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</w:rPr>
              <w:t>优先级低于结构性改造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