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42C4A"/>
          <w:sz w:val="40"/>
        </w:rPr>
        <w:t>美股截面策略 v2 —— 全策略分析报告</w:t>
      </w:r>
    </w:p>
    <w:p>
      <w:r>
        <w:rPr>
          <w:rFonts w:ascii="微软雅黑" w:hAnsi="微软雅黑" w:eastAsia="微软雅黑"/>
          <w:b w:val="0"/>
          <w:i/>
        </w:rPr>
        <w:t>版本 2026-10-13 (v2.10) ｜ 池:81 只美股/ETF → 基本面过滤后 53(2025)/55(2026H2) ｜ 回测:MT5 策略测试器 / Pepperstone-Demo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摘要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策略骨架:标的池 → 基本面过滤 → 统计指标判「一类/二类」→ 动量(可叠加质量)截面排序 → 取前 8 名等权 → 每 21 天调仓、只做多。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v2 相对 v1 的三处改动:删掉稳定性评分排序(实证为负贡献,已归档)、加入「动量+质量」混合排序、加入 EA 内置的同池等权基准。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2025 全年(池 53 只):纯动量 +26.08%、混合(w=0.5) +21.97%、同池等权基准 +16.22%;自检 w=0 与纯动量逐位一致。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2026.07–10 样本外(池 55 只):纯动量 −2.99%、混合 −3.10%、基准 −0.13%。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结论一(核心):</w:t>
      </w:r>
      <w:r>
        <w:rPr>
          <w:rFonts w:ascii="微软雅黑" w:hAnsi="微软雅黑" w:eastAsia="微软雅黑"/>
          <w:b/>
          <w:i w:val="0"/>
        </w:rPr>
        <w:t>调仓周期是一阶变量</w:t>
      </w:r>
      <w:r>
        <w:rPr>
          <w:rFonts w:ascii="微软雅黑" w:hAnsi="微软雅黑" w:eastAsia="微软雅黑"/>
          <w:b w:val="0"/>
          <w:i w:val="0"/>
        </w:rPr>
        <w:t>。纯动量 21/42/63 天分别为 +26.08% / +9.94% / +21.05%,42 天档位反而跑输基准 6.3pp —— 2025 的超额并不稳健。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结论二:质量倾斜(fund_pct 加权)在样本内外都是负贡献(−4.1pp / −0.1pp),建议默认用纯动量。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结论三:样本外没有守住超额:两个策略各亏约 3%,基准基本打平。成本(隔夜利息)是收益的主要侵蚀项。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</w:rPr>
        <w:t>结论四(核心):多起点滚动回测(4 起点 × 12 个月)2 赢 2 输,按预设规则(≥3/4 才继续)不达标 —— 覆盖 2026 年的窗口全部跑输,建议暂停组合层参数优化。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结论五:市场闸门有效但不够 —— 2025 收益持平(+0.85pp)而回撤 22.18% → 13.42%、夏普 2.11 → 2.79;2026 段窗口减损 3.3~7pp,但没能翻盘。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 xml:space="preserve">结论六:扩大标的池有害(−7.68pp),已回退;当前最优配置 = </w:t>
      </w:r>
      <w:r>
        <w:rPr>
          <w:rFonts w:ascii="微软雅黑" w:hAnsi="微软雅黑" w:eastAsia="微软雅黑"/>
          <w:b/>
          <w:i w:val="0"/>
        </w:rPr>
        <w:t>窄池 53 只 + 纯动量 + 市场闸门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结论七:「一类不足时从二类补足」这一条规则贡献 +6.87pp(21 天档位),但在 42/63 天档位从未触发。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一、策略定位与投资逻辑</w:t>
      </w:r>
    </w:p>
    <w:p>
      <w:r>
        <w:rPr>
          <w:rFonts w:ascii="微软雅黑" w:hAnsi="微软雅黑" w:eastAsia="微软雅黑"/>
          <w:b w:val="0"/>
          <w:i w:val="0"/>
        </w:rPr>
        <w:t>立意:不找涨得最猛的,找「回撤浅、回升快、波动收敛、系统性风险低」的标的,再按动量做截面排序,集中持有前 8 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层次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做什么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产物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 标的池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81 只美股/ETF → 基本面过滤(质量、盈利稳定性、低杠杆、股东回报)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53 / 55 只候选池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 统计过滤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只用「仅过去」的数据算 ADF / 半衰期 / 回撤 / 回升 / 波动收敛 / 滚动回撤,判「一类/二类」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可用池 + 一类/二类标签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 排序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动量分位(可叠加质量分)给全池打分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截面排序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 组合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一类优先、不足则从二类补足;取前 N=8 等权;每 21 天重算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持仓组合 + 净值曲线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</w:rPr>
        <w:t>三个不可省略的约束:(a) 所有指标只用回测起点之前的窗口,无未来函数;(b) 基本面用「点时快照」,只用回测起点之前已公布的财报;(c) 只做多,不融资加杠杆。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二、统计指标与过滤规则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2.1 指标定义(数学表达式)</w:t>
      </w:r>
    </w:p>
    <w:p>
      <w:r>
        <w:rPr>
          <w:rFonts w:ascii="微软雅黑" w:hAnsi="微软雅黑" w:eastAsia="微软雅黑"/>
          <w:b w:val="0"/>
          <w:i w:val="0"/>
        </w:rPr>
        <w:t>以下指标按标的各自的历史窗口计算,窗口长度 L 取最近 1500 根 M30 K 线;r_t 为对数收益率。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维度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数学表达式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方向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均值回归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ADF t 值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回归式 ΔP_t = α + β·P_{t−1} + Σ_{i=1..k} γ_i·ΔP_{t−i} + ε_t,取 t_β = β̂ / SE(β̂),k=1。t_β &lt; −2.86 判为显著均值回归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越负越好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均值回归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半衰期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由 ΔP_t = α + λ·P_{t−1} + ε_t 得 λ̂;HL = −ln2 / λ̂(单位:根)。λ̂ ≥ 0 或 HL &gt; 800 → HL = 9999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越短越好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均值回归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Hurst 指数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R/S 重标极差法:H = ln(R/S) / ln(T);仅当拟合 R² &gt; 0.7 时采纳,否则按 0 权重处理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&lt; 0.5 为回归特征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最大回撤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MDD = max_t ( 1 − P_t / max_{s ≤ t} P_s 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越小越好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回升天数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谷底后首次回到谷底前高点的根数;未回升则 recovered=false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越短越好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当前回撤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DD_now = 1 − P_T / max_{s ≤ T} P_s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越小越好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波动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波动收敛比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VC = σ(最近 1/3 窗口) / σ(全窗口)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越小越好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收益效率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Sortino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Sortino = (R_ann − R_f) / σ_down,σ_down 为下行波动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越大越好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收益效率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Calmar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Calmar = R_ann / MDD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越大越好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系统性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Beta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β = Cov(r_s, r_m) / Var(r_m),基准取 US500;评分用 −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β−1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滚动风险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 日滚动回撤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RMDD = max_k MDD_k,k 遍历所有长度 W=20 交易日的滚动窗口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越小越好(阈值 20%)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</w:rPr>
        <w:t>年化折算:M30 周期下 bars_day = 13(美股 6.5 小时),bars_year = 13 × 252 = 3276;年化收益 R_ann = (1 + R_total)^(bars_year / N) − 1。v1 的选股脚本曾按 24 小时折算(12096 根),会把年化放大 3.69 倍,已在本回测 EA 中修正。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2.2 一类 / 二类判定</w:t>
      </w:r>
    </w:p>
    <w:p>
      <w:r>
        <w:rPr>
          <w:rFonts w:ascii="微软雅黑" w:hAnsi="微软雅黑" w:eastAsia="微软雅黑"/>
          <w:b w:val="0"/>
          <w:i w:val="0"/>
        </w:rPr>
        <w:t>G_A = { i : recovered_i = true ∧ RMDD_i ≤ 0.20 },G_B = { i : valid_i ∧ i ∉ G_A }。只有 G_A 是优先买入池;valid 表示该标的有足够 K 线且关键统计量算得出来。</w:t>
      </w:r>
    </w:p>
    <w:p>
      <w:r>
        <w:rPr>
          <w:rFonts w:ascii="微软雅黑" w:hAnsi="微软雅黑" w:eastAsia="微软雅黑"/>
          <w:b w:val="0"/>
          <w:i w:val="0"/>
        </w:rPr>
        <w:t>2025 年一类的画像:中位滚动回撤 16.5% vs 二类 25.1%,中位 Beta 0.75 vs 1.45 —— 即「低波动 + 低系统性」的防御池。代价是一类的中位年化收益(16.4%)明显低于二类(33.4%)。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2.3 已移除:稳定性评分维度</w:t>
      </w:r>
    </w:p>
    <w:p>
      <w:r>
        <w:rPr>
          <w:rFonts w:ascii="微软雅黑" w:hAnsi="微软雅黑" w:eastAsia="微软雅黑"/>
          <w:b w:val="0"/>
          <w:i w:val="0"/>
        </w:rPr>
        <w:t>v1 曾把上述 14 个指标做截面 Z-score 加权成「稳定性评分」,并用于排序。实证结果:2025 全年评分组 +3.96% vs 动量组 +19.21%(同池同区间),评分与年化收益的相关系数 −0.31,与最大回撤 −0.89 —— 它本质是「回撤规避分」,不是收益预测。</w:t>
      </w:r>
    </w:p>
    <w:p>
      <w:r>
        <w:rPr>
          <w:rFonts w:ascii="微软雅黑" w:hAnsi="微软雅黑" w:eastAsia="微软雅黑"/>
          <w:b w:val="0"/>
          <w:i w:val="0"/>
        </w:rPr>
        <w:t>该维度已从回测 EA 中移除,代码、参数与结果完整保存在 archive/2026-10-09_评分维度/(含恢复步骤)。注意:选股脚本 ScreenUSStocks.mq5 未改动,仍输出稳定性排名,定位为「诊断/观察工具」。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三、排序与组合构建(v2)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3.1 动量</w:t>
      </w:r>
    </w:p>
    <w:p>
      <w:r>
        <w:rPr>
          <w:rFonts w:ascii="微软雅黑" w:hAnsi="微软雅黑" w:eastAsia="微软雅黑"/>
          <w:b w:val="0"/>
          <w:i w:val="0"/>
        </w:rPr>
        <w:t>对每个有效标的 i,动量定义为区间收益的排名分位(而非原始收益,避免异常值支配):</w:t>
      </w:r>
    </w:p>
    <w:p>
      <w:r>
        <w:rPr>
          <w:rFonts w:ascii="微软雅黑" w:hAnsi="微软雅黑" w:eastAsia="微软雅黑"/>
          <w:b w:val="0"/>
          <w:i w:val="0"/>
        </w:rPr>
        <w:t>ret_i = Close_i(T−1) / Close_i(T−1−B) − 1,B = InpRankRetBars = 1500 根;</w:t>
      </w:r>
    </w:p>
    <w:p>
      <w:r>
        <w:rPr>
          <w:rFonts w:ascii="微软雅黑" w:hAnsi="微软雅黑" w:eastAsia="微软雅黑"/>
          <w:b w:val="0"/>
          <w:i w:val="0"/>
        </w:rPr>
        <w:t>pct_mom,i = 1 − (rank_i − 1) / (cnt − 1),rank 为 ret 在全部有效标的中的降序名次(并列取平均秩),cnt &gt; 1;cnt = 1 时取 1。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3.2 质量分</w:t>
      </w:r>
    </w:p>
    <w:p>
      <w:r>
        <w:rPr>
          <w:rFonts w:ascii="微软雅黑" w:hAnsi="微软雅黑" w:eastAsia="微软雅黑"/>
          <w:b w:val="0"/>
          <w:i w:val="0"/>
        </w:rPr>
        <w:t>质量分直接取基本面快照的 fund_pct(适用因子池内百分位的平均,见第四章),取值 [0,1],在回测期内固定不变(点时口径)。缺失时以有效标的中位数填补,并在诊断列标记 qp=NA。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3.3 混合排序</w:t>
      </w:r>
    </w:p>
    <w:p>
      <w:r>
        <w:rPr>
          <w:rFonts w:ascii="微软雅黑" w:hAnsi="微软雅黑" w:eastAsia="微软雅黑"/>
          <w:b w:val="0"/>
          <w:i w:val="0"/>
        </w:rPr>
        <w:t>S_i = (1 − w) · pct_mom,i + w · fund_pct,i,w = InpQualityWeight;RankMode=0 时取 w = 0(纯动量),RankMode=1 时为混合。默认 w = 0.5。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3.4 选股规则(一类优先 + 二类补足)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在 G_A 内按 S 降序取,直到取满 N = InpTopN = 8 只;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若 G_A 不足 8 只且 InpFillFromClassB = true,继续在 G_B 内按 S 降序补足到 8 只;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若 InpFillFromClassB = false,不足部分不补(剩余权重留现金);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InpBenchmarkMode = true 时跳过以上全部,直接取全部有效标的等权(基准组)。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3.5 权重与下单</w:t>
      </w:r>
    </w:p>
    <w:p>
      <w:r>
        <w:rPr>
          <w:rFonts w:ascii="微软雅黑" w:hAnsi="微软雅黑" w:eastAsia="微软雅黑"/>
          <w:b w:val="0"/>
          <w:i w:val="0"/>
        </w:rPr>
        <w:t>等权:w_i = 1 / slots,slots 在策略模式下固定取 N(不足时自然留现金),基准模式下取候选数。</w:t>
      </w:r>
    </w:p>
    <w:p>
      <w:r>
        <w:rPr>
          <w:rFonts w:ascii="微软雅黑" w:hAnsi="微软雅黑" w:eastAsia="微软雅黑"/>
          <w:b w:val="0"/>
          <w:i w:val="0"/>
        </w:rPr>
        <w:t>单标的上限:w_i ← min(w_i, InpMaxWeightPct / 100),截顶后</w:t>
      </w:r>
      <w:r>
        <w:rPr>
          <w:rFonts w:ascii="微软雅黑" w:hAnsi="微软雅黑" w:eastAsia="微软雅黑"/>
          <w:b/>
          <w:i w:val="0"/>
        </w:rPr>
        <w:t>不回补</w:t>
      </w:r>
      <w:r>
        <w:rPr>
          <w:rFonts w:ascii="微软雅黑" w:hAnsi="微软雅黑" w:eastAsia="微软雅黑"/>
          <w:b w:val="0"/>
          <w:i w:val="0"/>
        </w:rPr>
        <w:t>;若显式打开 InpScaleWeightsToFull 则按 Σw 归一化回补。</w:t>
      </w:r>
    </w:p>
    <w:p>
      <w:r>
        <w:rPr>
          <w:rFonts w:ascii="微软雅黑" w:hAnsi="微软雅黑" w:eastAsia="微软雅黑"/>
          <w:b w:val="0"/>
          <w:i w:val="0"/>
        </w:rPr>
        <w:t>目标手数:L_i = ⌊ E · w_i / (C · P_i) ⌋ 向下取整到最小变动步长,其中 E 为账户净值,C 为合约大小(实测 Pepperstone 美股 CFD = 1 股/手),P_i 为卖价。</w:t>
      </w:r>
    </w:p>
    <w:p>
      <w:r>
        <w:rPr>
          <w:rFonts w:ascii="微软雅黑" w:hAnsi="微软雅黑" w:eastAsia="微软雅黑"/>
          <w:b w:val="0"/>
          <w:i w:val="0"/>
        </w:rPr>
        <w:t>保证金保护:M_i = L_i · P_i · C · r_margin,单仓预算上限 E · w_i · InpMarginMult,并有「不超过可用保证金 90%」的全局闸。</w:t>
      </w:r>
    </w:p>
    <w:p>
      <w:r>
        <w:rPr>
          <w:rFonts w:ascii="微软雅黑" w:hAnsi="微软雅黑" w:eastAsia="微软雅黑"/>
          <w:b w:val="0"/>
          <w:i w:val="0"/>
        </w:rPr>
        <w:t>调仓窗口:仅在服务器时间 18:00–22:00 内执行;目标手数偏离现有仓位超过 InpAdjustTolPct(30%)才做「平−开」调整。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3.6 股息记账</w:t>
      </w:r>
    </w:p>
    <w:p>
      <w:r>
        <w:rPr>
          <w:rFonts w:ascii="微软雅黑" w:hAnsi="微软雅黑" w:eastAsia="微软雅黑"/>
          <w:b w:val="0"/>
          <w:i w:val="0"/>
        </w:rPr>
        <w:t>D = Σ V · C · P · y / 365 · Δt,V 为手数,y 为年化股息率,Δt 为持有天数。MT5 测试器不会给 CFD 补股息调整(已独立验证:CFD 报价 = 未复权股价),因此股息只做内部记账,单独列示,不计入余额。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四、基本面因子体系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4.1 因子表(数学表达式)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#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因子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表达式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方向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可用率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ROE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ROE = NI_TTM / E(股东权益)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越大越好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92.6%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净利率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NM = NI_TTM / Rev_TTM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越大越好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88.9%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毛利率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GM = (Rev_TTM − COGS_TTM) / Rev_TTM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越大越好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75.3%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盈利波动率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Vol = σ(EPS 最近 8 个离散季度)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越小越好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92.6%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净负债/EBITDA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ND = (有息负债 − 现金) / EBITDA_TTM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越小越好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60.5%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利息保障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ICR = EBIT / 利息费用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越大越好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64.2%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股息率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DY = (前复权总收益 − 未复权价格收益) 近 12 个月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越大越好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96.3%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</w:rPr>
        <w:t>扩展因子(顺带产出、不参与过滤):ROA = NI_TTM / 总资产;FCF 利润率 = (经营现金流 − 资本开支) / Rev;现金转化率 = 经营现金流 / NI;应计利润 = (NI − 经营现金流) / 总资产;债务/资产 = 总负债 / 总资产。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4.2 TTM 与 YTD 还原</w:t>
      </w:r>
    </w:p>
    <w:p>
      <w:r>
        <w:rPr>
          <w:rFonts w:ascii="微软雅黑" w:hAnsi="微软雅黑" w:eastAsia="微软雅黑"/>
          <w:b w:val="0"/>
          <w:i w:val="0"/>
        </w:rPr>
        <w:t>TTM 口径:TTM = Σ_{k=1..4} Q_k(最近 4 个离散季度),不使用滚动年报插值。</w:t>
      </w:r>
    </w:p>
    <w:p>
      <w:r>
        <w:rPr>
          <w:rFonts w:ascii="微软雅黑" w:hAnsi="微软雅黑" w:eastAsia="微软雅黑"/>
          <w:b w:val="0"/>
          <w:i w:val="0"/>
        </w:rPr>
        <w:t>10-Q 常只披露年初至今累计值,按「同一起点相邻两期相减」还原离散季度:Q_t = YTD_t − YTD_{t−1},窗口长度限定在 75~125 天;取不到 4 个季度时退回最近一个完整年度(330~400 天)并标记 basis_fy。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4.3 预处理与打分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缩尾:x' = clip(x, Q_2%, Q_98%),样本数 &lt; 8 时不做;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方向统一:「越小越好」的因子取负号,使全部因子方向一致;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池内百分位:在「有值」的标的集合内算平均秩百分位 pct_j ∈ [0,1];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综合分位:fund_pct = ( Σ_{j ∈ 适用} pct_j ) / n_适用;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过滤规则:保留条件为 fund_pct ≥ 0.40 ∧ n_适用 ≥ 3;硬因子(ROE、净利率、盈利波动)缺失直接淘汰;软因子(毛利率、净负债/EBITDA、利息保障、股息率)缺失只减少适用项数;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行业豁免:金融与地产(SEC SIC 6000–6799,池内 8 只)的毛利率/EBITDA/利息保障口径不适用,标记剔除后用 ROE、净利率、盈利波动、股息率判定;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双算法校验:同一指标用备用 XBRL 标签二次计算(偏差 &gt; 5% 记 mismatch),并做值域检查(越界记 out_of_range)。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4.4 与价格系统的排异处理</w:t>
      </w:r>
    </w:p>
    <w:p>
      <w:r>
        <w:rPr>
          <w:rFonts w:ascii="微软雅黑" w:hAnsi="微软雅黑" w:eastAsia="微软雅黑"/>
          <w:b w:val="0"/>
          <w:i w:val="0"/>
        </w:rPr>
        <w:t>基本面不改变价格侧的任何判据,只做两件事:进入打分之前过滤池子、输出股息率供组合层记账。全部预处理在 Python 侧一次完成,MQL5 只读最终 CSV,避免两套实现产生分歧。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五、回测结果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5.1 2025 全年(池 53 只,21 天调仓,入金 10,000 USD)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指标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纯动量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混合 w=0.5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自检 w=0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基准:同池等权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净收益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+26.08%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+21.97%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+26.08%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+16.22%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净盈利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+2,607.93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+2,196.52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+2,607.93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+1,621.86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盈利因子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3.37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2.42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3.37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3.04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夏普比率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2.11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1.78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2.11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1.54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最大净值回撤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22.18%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22.56%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22.18%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22.56%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平仓交易(胜率)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59 (62.7%)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57 (56.1%)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59 (62.7%)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87 (62.1%)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手续费 / 隔夜利息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−19.76 / −690.54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−18.54 / −684.05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−19.76 / −690.54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−6.66 / −633.87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预付款维持率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429%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427%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429%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426%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</w:rPr>
        <w:t>自检:w=0 的混合组与纯动量组在净盈利、盈利因子、夏普、交易数、回撤上逐位一致,证明排序管线接线正确。基准组由 EA 自身以同一套成本与调仓节奏运行,可与策略组直接比较。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5.2 调仓周期敏感性(2025,纯动量)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调仓周期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二类补足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不足留现金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成交笔数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相对基准(+16.22%)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21 天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+26.08%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+19.21%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118 / 116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+9.9pp / +3.0pp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42 天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+9.94%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+9.94%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88 / 88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−6.3pp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63 天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+21.05%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+21.05%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64 / 64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+4.8pp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</w:rPr>
        <w:t>42/63 天两列完全相同,说明这两个节奏下每次调仓都有 ≥8 只标的一类合格,补足规则未触发。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5.3 样本外:2026.07.01–2026.10.08(池 55 只)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纯动量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混合 w=0.5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基准:同池等权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净收益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−2.99%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−3.10%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−0.13%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净盈利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−298.65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−310.35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−13.06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盈利因子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0.62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0.57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0.98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夏普比率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−1.23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−1.21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−0.09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最大净值回撤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8.36%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8.49%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5.07%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平仓交易(胜率)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 (50.0%)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21 (42.9%)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64 (45.3%)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手续费 / 隔夜利息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−9.62 / −173.60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−9.38 / −169.77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−4.30 / −161.79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5.4 收益风险比对照:策略 vs 无策略</w:t>
      </w:r>
    </w:p>
    <w:p>
      <w:r>
        <w:rPr>
          <w:rFonts w:ascii="微软雅黑" w:hAnsi="微软雅黑" w:eastAsia="微软雅黑"/>
          <w:b w:val="0"/>
          <w:i w:val="0"/>
        </w:rPr>
        <w:t>只比收益率会掩盖风险差异,所以这里同时看「单位风险换来的收益」。基准(无策略)= 同池等权、同调仓节奏、同成本,由 EA 内置基准模式跑出。</w:t>
      </w:r>
    </w:p>
    <w:p>
      <w:r>
        <w:rPr>
          <w:rFonts w:ascii="微软雅黑" w:hAnsi="微软雅黑" w:eastAsia="微软雅黑"/>
          <w:b w:val="0"/>
          <w:i w:val="0"/>
        </w:rPr>
        <w:t>2025 全年(池 53 只、21 天调仓):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纯动量(策略)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基准(无策略)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策略 / 基准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总收益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+26.08%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+16.22%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1.61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最大净值回撤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22.18%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22.56%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0.98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收益 / 回撤比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1.18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0.72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1.64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夏普比率(测试器)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2.11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1.54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1.37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Sortino(日净值估算)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2.83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1.86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1.52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年化波动率(日净值估算)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68.4%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61.2%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1.12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盈利因子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3.37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3.04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1.11 ×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策略承担约 1.12 倍的波动,换来 1.61 倍的收益 → 收益/回撤比 1.64×(基准 0.72),夏普 1.37×,Sortino 1.52×。</w:t>
      </w:r>
      <w:r>
        <w:rPr>
          <w:rFonts w:ascii="微软雅黑" w:hAnsi="微软雅黑" w:eastAsia="微软雅黑"/>
          <w:b/>
          <w:i w:val="0"/>
        </w:rPr>
        <w:t>2025 在风险调整后依然占优。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波动率与 Sortino 由测试器导出的净值曲线按日重采样估算;净值只在成交日记录,绝对值偏高,但三组使用同一算法,横向可比。</w:t>
      </w:r>
    </w:p>
    <w:p>
      <w:r>
        <w:rPr>
          <w:rFonts w:ascii="微软雅黑" w:hAnsi="微软雅黑" w:eastAsia="微软雅黑"/>
          <w:b w:val="0"/>
          <w:i w:val="0"/>
        </w:rPr>
        <w:t>样本外 2026.07–10: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纯动量(策略)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基准(无策略)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策略 / 基准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总收益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−2.99%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−0.13%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最大净值回撤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8.36%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5.07%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1.65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收益 / 回撤比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−0.36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−0.03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全面落后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夏普比率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−1.23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−0.09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全面落后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盈利因子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0.62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0.98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全面落后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 xml:space="preserve">每承担 1% 回撤,策略换来 −0.36% 的收益,而无策略是 −0.03% —— </w:t>
      </w:r>
      <w:r>
        <w:rPr>
          <w:rFonts w:ascii="微软雅黑" w:hAnsi="微软雅黑" w:eastAsia="微软雅黑"/>
          <w:b/>
          <w:i w:val="0"/>
        </w:rPr>
        <w:t>样本外在收益风险比上也是全面落后。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5.5 多起点滚动回测(4 个起点 × 12 个月;前向=禁用)</w:t>
      </w:r>
    </w:p>
    <w:p>
      <w:r>
        <w:rPr>
          <w:rFonts w:ascii="微软雅黑" w:hAnsi="微软雅黑" w:eastAsia="微软雅黑"/>
          <w:b w:val="0"/>
          <w:i w:val="0"/>
        </w:rPr>
        <w:t xml:space="preserve">设计:4 个起点、每个 12 个月;策略 = </w:t>
      </w:r>
      <w:r>
        <w:rPr>
          <w:rFonts w:ascii="微软雅黑" w:hAnsi="微软雅黑" w:eastAsia="微软雅黑"/>
          <w:b/>
          <w:i w:val="0"/>
        </w:rPr>
        <w:t>窄池 53 只 + 纯动量 + 市场闸门(200 日均线,风险时空仓)</w:t>
      </w:r>
      <w:r>
        <w:rPr>
          <w:rFonts w:ascii="微软雅黑" w:hAnsi="微软雅黑" w:eastAsia="微软雅黑"/>
          <w:b w:val="0"/>
          <w:i w:val="0"/>
        </w:rPr>
        <w:t>,基准 = 同池等权、同参数、同成本。判定规则事先写死:≥3/4 个窗口跑赢才继续投入。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起点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窗口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策略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无策略(同池等权)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判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2025.01–2025.12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+26.93%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+16.22%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+10.71pp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赢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2025.04–2026.03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+32.83%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+17.52%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+15.31pp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赢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2025.07–2026.06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+5.12%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+22.38%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−17.26pp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输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2025.10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2025.10–2026.09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+0.48%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+11.84%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−11.36pp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输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</w:rPr>
        <w:t>结果:2 赢 2 输 → 按预设规则不达标。</w:t>
      </w:r>
    </w:p>
    <w:p>
      <w:r>
        <w:rPr>
          <w:rFonts w:ascii="微软雅黑" w:hAnsi="微软雅黑" w:eastAsia="微软雅黑"/>
          <w:b w:val="0"/>
          <w:i w:val="0"/>
        </w:rPr>
        <w:t>逐窗口风险对照(策略 / 无策略):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指标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2025.01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2025.04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2025.07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2025.10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净收益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+26.93% / +16.22%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+32.83% / +17.52%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+5.12% / +22.38%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+0.48% / +11.84%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最大净值回撤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13.42% / 22.56%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11.87% / 14.94%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18.01% / </w:t>
            </w:r>
            <w:r>
              <w:rPr>
                <w:rFonts w:ascii="微软雅黑" w:hAnsi="微软雅黑" w:eastAsia="微软雅黑"/>
                <w:b/>
                <w:i w:val="0"/>
              </w:rPr>
              <w:t>10.94%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19.21% / </w:t>
            </w:r>
            <w:r>
              <w:rPr>
                <w:rFonts w:ascii="微软雅黑" w:hAnsi="微软雅黑" w:eastAsia="微软雅黑"/>
                <w:b/>
                <w:i w:val="0"/>
              </w:rPr>
              <w:t>10.87%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收益 / 回撤比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2.01 / 0.72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2.77 / 1.17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0.28 / </w:t>
            </w:r>
            <w:r>
              <w:rPr>
                <w:rFonts w:ascii="微软雅黑" w:hAnsi="微软雅黑" w:eastAsia="微软雅黑"/>
                <w:b/>
                <w:i w:val="0"/>
              </w:rPr>
              <w:t>2.05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0.03 / </w:t>
            </w:r>
            <w:r>
              <w:rPr>
                <w:rFonts w:ascii="微软雅黑" w:hAnsi="微软雅黑" w:eastAsia="微软雅黑"/>
                <w:b/>
                <w:i w:val="0"/>
              </w:rPr>
              <w:t>1.09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夏普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2.79 / 1.54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3.15 / 1.66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0.51 / </w:t>
            </w:r>
            <w:r>
              <w:rPr>
                <w:rFonts w:ascii="微软雅黑" w:hAnsi="微软雅黑" w:eastAsia="微软雅黑"/>
                <w:b/>
                <w:i w:val="0"/>
              </w:rPr>
              <w:t>2.77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0.05 / </w:t>
            </w:r>
            <w:r>
              <w:rPr>
                <w:rFonts w:ascii="微软雅黑" w:hAnsi="微软雅黑" w:eastAsia="微软雅黑"/>
                <w:b/>
                <w:i w:val="0"/>
              </w:rPr>
              <w:t>1.59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盈利因子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4.64 / 3.04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3.39 / 3.11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1.15 / </w:t>
            </w:r>
            <w:r>
              <w:rPr>
                <w:rFonts w:ascii="微软雅黑" w:hAnsi="微软雅黑" w:eastAsia="微软雅黑"/>
                <w:b/>
                <w:i w:val="0"/>
              </w:rPr>
              <w:t>3.28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1.02 / </w:t>
            </w:r>
            <w:r>
              <w:rPr>
                <w:rFonts w:ascii="微软雅黑" w:hAnsi="微软雅黑" w:eastAsia="微软雅黑"/>
                <w:b/>
                <w:i w:val="0"/>
              </w:rPr>
              <w:t>2.07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</w:rPr>
        <w:t>规律:只要窗口覆盖 2026 年上半年及以后,策略就跑输,而且收益、回撤、收益/回撤比、夏普</w:t>
      </w:r>
      <w:r>
        <w:rPr>
          <w:rFonts w:ascii="微软雅黑" w:hAnsi="微软雅黑" w:eastAsia="微软雅黑"/>
          <w:b/>
          <w:i w:val="0"/>
        </w:rPr>
        <w:t>四项同时落后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5.6 两个改进的对照实验(2025 全年,前向=禁用)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配置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净收益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净盈利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盈利因子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夏普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最大净值回撤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窄池(53)无闸门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+26.08%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2,607.93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3.37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2.11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22.18%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窄池(53)+ 市场闸门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+26.93%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2,692.52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4.64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2.79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13.42%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宽池(63)无闸门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+22.03%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2,202.81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2.20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1.55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22.80%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宽池(63)+ 市场闸门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+19.25%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1,925.14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2.38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1.71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16.29%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基准:窄池等权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+16.22%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1,621.86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3.04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1.54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22.56%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基准:宽池等权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+20.70%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2,070.06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3.67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1.50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22.11%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/>
          <w:i w:val="0"/>
        </w:rPr>
        <w:t>市场闸门:收益持平、风险大幅改善 → 采纳。</w:t>
      </w:r>
      <w:r>
        <w:rPr>
          <w:rFonts w:ascii="微软雅黑" w:hAnsi="微软雅黑" w:eastAsia="微软雅黑"/>
          <w:b w:val="0"/>
          <w:i w:val="0"/>
        </w:rPr>
        <w:t xml:space="preserve"> 窄池 2025 收益 +0.85pp,回撤 22.18% → </w:t>
      </w:r>
      <w:r>
        <w:rPr>
          <w:rFonts w:ascii="微软雅黑" w:hAnsi="微软雅黑" w:eastAsia="微软雅黑"/>
          <w:b/>
          <w:i w:val="0"/>
        </w:rPr>
        <w:t>13.42%</w:t>
      </w:r>
      <w:r>
        <w:rPr>
          <w:rFonts w:ascii="微软雅黑" w:hAnsi="微软雅黑" w:eastAsia="微软雅黑"/>
          <w:b w:val="0"/>
          <w:i w:val="0"/>
        </w:rPr>
        <w:t xml:space="preserve">,夏普 2.11 → </w:t>
      </w:r>
      <w:r>
        <w:rPr>
          <w:rFonts w:ascii="微软雅黑" w:hAnsi="微软雅黑" w:eastAsia="微软雅黑"/>
          <w:b/>
          <w:i w:val="0"/>
        </w:rPr>
        <w:t>2.79</w:t>
      </w:r>
      <w:r>
        <w:rPr>
          <w:rFonts w:ascii="微软雅黑" w:hAnsi="微软雅黑" w:eastAsia="微软雅黑"/>
          <w:b w:val="0"/>
          <w:i w:val="0"/>
        </w:rPr>
        <w:t xml:space="preserve">,盈利因子 3.37 → </w:t>
      </w:r>
      <w:r>
        <w:rPr>
          <w:rFonts w:ascii="微软雅黑" w:hAnsi="微软雅黑" w:eastAsia="微软雅黑"/>
          <w:b/>
          <w:i w:val="0"/>
        </w:rPr>
        <w:t>4.64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</w:rPr>
        <w:t>扩大池子:明确有害 → 回退。</w:t>
      </w:r>
      <w:r>
        <w:rPr>
          <w:rFonts w:ascii="微软雅黑" w:hAnsi="微软雅黑" w:eastAsia="微软雅黑"/>
          <w:b w:val="0"/>
          <w:i w:val="0"/>
        </w:rPr>
        <w:t xml:space="preserve"> 同样开闸门,窄池 +26.93% vs 宽池 +19.25%(</w:t>
      </w:r>
      <w:r>
        <w:rPr>
          <w:rFonts w:ascii="微软雅黑" w:hAnsi="微软雅黑" w:eastAsia="微软雅黑"/>
          <w:b/>
          <w:i w:val="0"/>
        </w:rPr>
        <w:t>−7.68pp</w:t>
      </w:r>
      <w:r>
        <w:rPr>
          <w:rFonts w:ascii="微软雅黑" w:hAnsi="微软雅黑" w:eastAsia="微软雅黑"/>
          <w:b w:val="0"/>
          <w:i w:val="0"/>
        </w:rPr>
        <w:t>);宽池无闸门(+22.03%)也差于窄池(+26.08%)。新增的 10~12 只(质量分 0.30~0.40)稀释了动量信号。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 xml:space="preserve">闸门的边际贡献随窗口变化:2025.01 +0.85pp、2025.04 −0.58pp、2025.07 </w:t>
      </w:r>
      <w:r>
        <w:rPr>
          <w:rFonts w:ascii="微软雅黑" w:hAnsi="微软雅黑" w:eastAsia="微软雅黑"/>
          <w:b/>
          <w:i w:val="0"/>
        </w:rPr>
        <w:t>+3.27pp</w:t>
      </w:r>
      <w:r>
        <w:rPr>
          <w:rFonts w:ascii="微软雅黑" w:hAnsi="微软雅黑" w:eastAsia="微软雅黑"/>
          <w:b w:val="0"/>
          <w:i w:val="0"/>
        </w:rPr>
        <w:t>、2025.10 ≈+7pp(该窗口基线为分段合成值,仅参考)。</w:t>
      </w:r>
      <w:r>
        <w:rPr>
          <w:rFonts w:ascii="微软雅黑" w:hAnsi="微软雅黑" w:eastAsia="微软雅黑"/>
          <w:b/>
          <w:i w:val="0"/>
        </w:rPr>
        <w:t>下跌段确实受益,但不足以翻盘。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六、归因结论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调仓周期是一阶变量。同一排序规则下 21/42/63 天分别为 +26.08% / +9.94% / +21.05%,非单调;42 天档位跑输基准 6.3pp。三个月的样本外也只有一个截面(21 天)。</w:t>
      </w:r>
      <w:r>
        <w:rPr>
          <w:rFonts w:ascii="微软雅黑" w:hAnsi="微软雅黑" w:eastAsia="微软雅黑"/>
          <w:b/>
          <w:i w:val="0"/>
        </w:rPr>
        <w:t>2025 的 +9.9pp 超额只在 21 天档位成立,不能当作稳定 alpha。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质量倾斜是负贡献。2025:混合 −4.11pp(21.97% vs 26.08%),毛损从 −1,101 扩大到 −1,544,盈利因子从 3.37 降到 2.42;样本外:−3.10% vs −2.99%。两段一致。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「二类补足」的净贡献可精确归因:21 天档 +6.87pp(+19.21% → +26.08%),来源是 2025.04.17 那次调仓——旧规则只有 2 只合格、只投 25% 仓位,新规则补足到 8 只、满仓吃到 4 月反弹。该规则在 42/63 天档位从未触发。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成本是收益的主要侵蚀项:2025 隔夜利息 −634 ~ −691(年化约 6.2%~6.9%),手续费仅约 −19;2026H2 三个月就付出 −162 ~ −174。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基准确立了新口径:同池等权、同调仓节奏、同成本下,2025 基准 +16.22%(而非按价格算的 +24.30%)。此前「策略跑输基准」的结论是拿不含成本的基准比出来的,已修正。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收益风险比维度:2025 策略以 1.12 倍波动换来 1.61 倍收益(收益/回撤比 1.64×、夏普 1.37×、Sortino 1.52×),样本内风险调整后仍占优;样本外 2026H2 则全面落后(收益/回撤比 −0.36 vs −0.03)。结论不变:2025 有效、样本外未延续。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多起点滚动回测(4 起点 × 12 个月,前向=禁用,窄池+闸门):2 赢 2 输,按预设规则不达标。覆盖 2026 年的窗口全部跑输(−17.3pp / −11.4pp),且收益/回撤比、夏普同时落后。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两个改进的对照:市场闸门收益持平、回撤 22.18%→13.42%(夏普 2.11→2.79),</w:t>
      </w:r>
      <w:r>
        <w:rPr>
          <w:rFonts w:ascii="微软雅黑" w:hAnsi="微软雅黑" w:eastAsia="微软雅黑"/>
          <w:b/>
          <w:i w:val="0"/>
        </w:rPr>
        <w:t>有效但不充分</w:t>
      </w:r>
      <w:r>
        <w:rPr>
          <w:rFonts w:ascii="微软雅黑" w:hAnsi="微软雅黑" w:eastAsia="微软雅黑"/>
          <w:b w:val="0"/>
          <w:i w:val="0"/>
        </w:rPr>
        <w:t>;扩大池子 −7.68pp,</w:t>
      </w:r>
      <w:r>
        <w:rPr>
          <w:rFonts w:ascii="微软雅黑" w:hAnsi="微软雅黑" w:eastAsia="微软雅黑"/>
          <w:b/>
          <w:i w:val="0"/>
        </w:rPr>
        <w:t>明确有害已回退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七、风险与局限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样本外仅 3 个月、5 次调仓、21~22 笔交易,统计功效弱;结论只能作为方向参考。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调仓周期敏感性高:周期变化会同时改变「哪些标的入选」和「交易成本」,6 次/9 次调仓的结果受个别时点支配。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池子只有 53~55 只,排序分是截面相对分,增删标的会改变全部排名。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股息为 EA 内部估算(基于年化股息率与持有天数),不计入账户余额;是否补息取决于经纪商条款。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回测未模拟冲击成本与滑点;基准组有 53 个持仓,实际交易成本会更高。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基本面为季度快照,报告期滞后约 1 个季度,未做行业中性化。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14 个统计指标 × 81 只标的未做多重检验校正,存在数据挖掘风险。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八、改进路线(按优先级)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优先级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建议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依据 / 验收标准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P0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采用当前最优配置:窄池 53 只 + 纯动量 + 市场闸门</w:t>
            </w:r>
            <w:r>
              <w:rPr>
                <w:rFonts w:ascii="微软雅黑" w:hAnsi="微软雅黑" w:eastAsia="微软雅黑"/>
                <w:b w:val="0"/>
                <w:i w:val="0"/>
              </w:rPr>
              <w:t>(200 日线 / 风险时空仓)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 收益持平(+26.93% vs +26.08%)、回撤 22.18%→13.42%、夏普 2.11→2.79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P0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暂停组合层的参数优化</w:t>
            </w:r>
            <w:r>
              <w:rPr>
                <w:rFonts w:ascii="微软雅黑" w:hAnsi="微软雅黑" w:eastAsia="微软雅黑"/>
                <w:b w:val="0"/>
                <w:i w:val="0"/>
              </w:rPr>
              <w:t>(排序、TopN、权重上限、池子阈值)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多起点 2 赢 2 输;继续调参只会在同一批数据上过拟合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P0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闸门参数扫描(进行中)</w:t>
            </w:r>
            <w:r>
              <w:rPr>
                <w:rFonts w:ascii="微软雅黑" w:hAnsi="微软雅黑" w:eastAsia="微软雅黑"/>
                <w:b w:val="0"/>
                <w:i w:val="0"/>
              </w:rPr>
              <w:t>:均线 100 / 150 / 200 / 250 × 仓位系数 0 / 0.5,这是</w:t>
            </w:r>
            <w:r>
              <w:rPr>
                <w:rFonts w:ascii="微软雅黑" w:hAnsi="微软雅黑" w:eastAsia="微软雅黑"/>
                <w:b/>
                <w:i w:val="0"/>
              </w:rPr>
              <w:t>唯一允许的调参方向</w:t>
            </w:r>
            <w:r>
              <w:rPr>
                <w:rFonts w:ascii="微软雅黑" w:hAnsi="微软雅黑" w:eastAsia="微软雅黑"/>
                <w:b w:val="0"/>
                <w:i w:val="0"/>
              </w:rPr>
              <w:t>;必须在 4 个起点上同时验收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闸门是唯一在收益与风险两端都不亏的改动;200 日线是最慢的一档,2026 的下跌开始得更早,更快的均线可能更早离场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P1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回退扩池:`fund_keep` 阈值保持 0.40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实测 −7.68pp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P1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「收益 / 回撤比」作为固定对照口径(已完成)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只看收益率会掩盖风险差异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P2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若要在下跌段反超基准,需要换思路(个券级风控 / 降低单边暴露 / 对冲),而不是继续调参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2026 段仍落后 11~17pp,闸门只减损 3~8pp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P2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重做质量分(硬因子 / 提高区分度)、基本面改季频快照按公布日切换、成本优化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优先级低于结构性改造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