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8"/>
          <w:sz w:val="40"/>
          <w:szCs w:val="40"/>
        </w:rPr>
        <w:t xml:space="preserve">DATA SCIENCE SALARIES 2024</w:t>
      </w:r>
    </w:p>
    <w:p>
      <w:pPr>
        <w:spacing w:after="320"/>
      </w:pPr>
      <w:r>
        <w:rPr>
          <w:color w:val="595959"/>
          <w:sz w:val="28"/>
          <w:szCs w:val="28"/>
        </w:rPr>
        <w:t xml:space="preserve">Salary Analysis, Dashboard &amp; Forecast Report</w:t>
      </w:r>
    </w:p>
    <w:p>
      <w:pPr>
        <w:spacing w:after="40"/>
      </w:pPr>
      <w:r>
        <w:rPr>
          <w:i/>
          <w:iCs/>
          <w:color w:val="595959"/>
          <w:sz w:val="20"/>
          <w:szCs w:val="20"/>
        </w:rPr>
        <w:t xml:space="preserve">Reporting Period: 2020 – 2024  |  Prepared: July 21, 2026</w:t>
      </w:r>
    </w:p>
    <w:p>
      <w:pPr>
        <w:pBdr>
          <w:bottom w:val="single" w:color="1F4E78" w:sz="12" w:space="4"/>
        </w:pBdr>
        <w:spacing w:after="300"/>
      </w:pPr>
    </w:p>
    <w:p>
      <w:pPr>
        <w:pStyle w:val="Heading1"/>
        <w:spacing w:after="160" w:before="320"/>
      </w:pPr>
      <w:r>
        <w:t xml:space="preserve">Executive Summary</w:t>
      </w:r>
    </w:p>
    <w:p>
      <w:pPr>
        <w:spacing w:after="160" w:line="276"/>
      </w:pPr>
      <w:r>
        <w:rPr>
          <w:sz w:val="22"/>
          <w:szCs w:val="22"/>
        </w:rPr>
        <w:t xml:space="preserve">The raw dataset of 16,534 salary records (2020–2024) was cleaned, de-duplicated, and rebuilt into a structured workbook with five formula-driven pivot tables, an interactive dashboard, and a 2-year forward salary forecast. After removing 6,421 exact duplicate rows, the analysis is based on 10,113 unique records with an overall average salary of $146,662.</w:t>
      </w:r>
    </w:p>
    <w:p>
      <w:pPr>
        <w:spacing w:after="160" w:line="276"/>
      </w:pPr>
      <w:r>
        <w:rPr>
          <w:sz w:val="22"/>
          <w:szCs w:val="22"/>
        </w:rPr>
        <w:t xml:space="preserve">Salaries rose sharply from 2020 ($102,251 average) through 2023 ($150,645), before flattening in 2024 ($149,564, essentially unchanged year-over-year). Seniority is the strongest single driver of pay: Executives average $195,219 versus $91,351 for Entry-level roles — more than double. Research and Machine Learning/AI roles command the highest average pay among job families (~$175,000), while the United States dominates the dataset, accounting for 82.8% of all records and paying the highest average salary of any major market ($156,629).</w:t>
      </w:r>
    </w:p>
    <w:p>
      <w:pPr>
        <w:pStyle w:val="Heading1"/>
        <w:spacing w:after="160" w:before="320"/>
      </w:pPr>
      <w:r>
        <w:t xml:space="preserve">1. Data Cleaning Process</w:t>
      </w:r>
    </w:p>
    <w:p>
      <w:pPr>
        <w:spacing w:after="160" w:line="276"/>
      </w:pPr>
      <w:r>
        <w:rPr>
          <w:sz w:val="22"/>
          <w:szCs w:val="22"/>
        </w:rPr>
        <w:t xml:space="preserve">The raw file (16,534 rows, 11 columns: work year, experience level, employment type, job title, salary, currency, USD-converted salary, employee residence, remote ratio, company location, and company size) was reviewed systematically before any analysis was performed. The table below documents every issue found and the correction applied.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900"/>
        <w:gridCol w:w="1700"/>
      </w:tblGrid>
      <w:tr>
        <w:trPr>
          <w:tblHeader/>
        </w:trPr>
        <w:tc>
          <w:tcPr>
            <w:tcW w:type="dxa" w:w="25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Issue Found</w:t>
            </w:r>
          </w:p>
        </w:tc>
        <w:tc>
          <w:tcPr>
            <w:tcW w:type="dxa" w:w="59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Correction Applied</w:t>
            </w:r>
          </w:p>
        </w:tc>
        <w:tc>
          <w:tcPr>
            <w:tcW w:type="dxa" w:w="17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Rows Affected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Exact duplicate records</w:t>
            </w:r>
          </w:p>
        </w:tc>
        <w:tc>
          <w:tcPr>
            <w:tcW w:type="dxa" w:w="5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Removed rows 100% identical across all 11 fields (same year, title, salary, location, etc.) - kept first occurrence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6,421 rows removed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Stray whitespace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Trimmed leading/trailing spaces from all text fields as a safeguard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checked, none found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USD consistency check</w:t>
            </w:r>
          </w:p>
        </w:tc>
        <w:tc>
          <w:tcPr>
            <w:tcW w:type="dxa" w:w="5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salary = salary_in_usd for every row where salary_currency = USD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mismatches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Non-positive salary values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Checked salary and salary_in_usd columns for zero/negative values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found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Coded categorical fields</w:t>
            </w:r>
          </w:p>
        </w:tc>
        <w:tc>
          <w:tcPr>
            <w:tcW w:type="dxa" w:w="5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Decoded abbreviations to readable labels (experience level, employment type, company size, remote ratio); original codes kept alongside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10,113 rows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155 distinct job titles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Grouped into 9 broader Job Family categories via keyword rules, to make pivoting and charting meaningful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10,113 rows classified</w:t>
            </w:r>
          </w:p>
        </w:tc>
      </w:tr>
      <w:tr>
        <w:tc>
          <w:tcPr>
            <w:tcW w:type="dxa" w:w="25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Statistical salary outliers (IQR)</w:t>
            </w:r>
          </w:p>
        </w:tc>
        <w:tc>
          <w:tcPr>
            <w:tcW w:type="dxa" w:w="5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Flagged rows outside $-41,350 to $322,250 as high earners for awareness - retained as legitimate senior/executive pay, not errors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174 rows flagged, 0 removed</w:t>
            </w:r>
          </w:p>
        </w:tc>
      </w:tr>
    </w:tbl>
    <w:p>
      <w:pPr>
        <w:spacing w:before="200"/>
      </w:pPr>
    </w:p>
    <w:p>
      <w:pPr>
        <w:pStyle w:val="Heading2"/>
        <w:spacing w:after="120" w:before="240"/>
      </w:pPr>
      <w:r>
        <w:t xml:space="preserve">Removing Duplicate Records</w:t>
      </w:r>
    </w:p>
    <w:p>
      <w:pPr>
        <w:spacing w:after="160" w:line="276"/>
      </w:pPr>
      <w:r>
        <w:rPr>
          <w:sz w:val="22"/>
          <w:szCs w:val="22"/>
        </w:rPr>
        <w:t xml:space="preserve">The single biggest data quality issue was duplication: 6,421 of the 16,534 rows (38.8%) were 100% identical to another row across all 11 fields, including the exact salary figure. Because salary is a precise numeric value, this level of exact duplication across every field is a strong signal of repeated/scraped entries rather than coincidence, so duplicates were removed, keeping the first occurrence of each unique record. This left 10,113 unique salary records for analysis.</w:t>
      </w:r>
    </w:p>
    <w:p>
      <w:pPr>
        <w:pStyle w:val="Heading2"/>
        <w:spacing w:after="120" w:before="240"/>
      </w:pPr>
      <w:r>
        <w:t xml:space="preserve">Decoding Categorical Fields</w:t>
      </w:r>
    </w:p>
    <w:p>
      <w:pPr>
        <w:spacing w:after="160" w:line="276"/>
      </w:pPr>
      <w:r>
        <w:rPr>
          <w:sz w:val="22"/>
          <w:szCs w:val="22"/>
        </w:rPr>
        <w:t xml:space="preserve">Several fields used short internal codes (e.g., experience_level: EN/MI/SE/EX; employment_type: FT/PT/CT/FL; company_size: S/M/L; remote_ratio: 0/50/100). These were decoded into readable labels (Entry-level/Mid-level/Senior/Executive; Full-time/Part-time/Contract/Freelance; Small/Medium/Large; On-site/Hybrid/Remote) for the pivot tables and dashboard, while the original codes were retained in the Clean Data sheet for traceability.</w:t>
      </w:r>
    </w:p>
    <w:p>
      <w:pPr>
        <w:pStyle w:val="Heading2"/>
        <w:spacing w:after="120" w:before="240"/>
      </w:pPr>
      <w:r>
        <w:t xml:space="preserve">Grouping Job Titles into Families</w:t>
      </w:r>
    </w:p>
    <w:p>
      <w:pPr>
        <w:spacing w:after="160" w:line="276"/>
      </w:pPr>
      <w:r>
        <w:rPr>
          <w:sz w:val="22"/>
          <w:szCs w:val="22"/>
        </w:rPr>
        <w:t xml:space="preserve">The raw file contains 155 distinct job titles — far too many for a meaningful chart. A rule-based classifier grouped titles into 9 broader Job Families (e.g., "Data Scientist" and "Data Science" → Data Science; "ML Engineer", "Computer Vision Engineer", "NLP Engineer" → Machine Learning / AI). Only 2 of 10,113 rows (a single unusual title, "Autonomous Vehicle Technician") could not be confidently classified and were labeled "Other."</w:t>
      </w:r>
    </w:p>
    <w:p>
      <w:pPr>
        <w:pStyle w:val="Heading2"/>
        <w:spacing w:after="120" w:before="240"/>
      </w:pPr>
      <w:r>
        <w:t xml:space="preserve">Validation Checks Performed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Verified salary equals salary_in_usd for every row where the currency is USD (0 mismatches) — confirms the USD conversion logic is internally consistent.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Checked for zero or negative salary values — none found.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Checked all text fields for stray leading/trailing whitespace — none found.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Flagged 174 statistical outliers (salaries outside the IQR-based range of roughly -$41k to $322k) for awareness. These were retained rather than deleted, since they represent plausible executive or highly senior compensation rather than data-entry errors.</w:t>
      </w:r>
    </w:p>
    <w:p>
      <w:pPr>
        <w:pStyle w:val="Heading1"/>
        <w:spacing w:after="160" w:before="320"/>
      </w:pPr>
      <w:r>
        <w:t xml:space="preserve">2. Workbook Structure &amp; Methodology</w:t>
      </w:r>
    </w:p>
    <w:p>
      <w:pPr>
        <w:spacing w:after="160" w:line="276"/>
      </w:pPr>
      <w:r>
        <w:rPr>
          <w:sz w:val="22"/>
          <w:szCs w:val="22"/>
        </w:rPr>
        <w:t xml:space="preserve">The deliverable workbook (Salary2024_Cleaned_Report.xlsx) contains the following tabs: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Cleaning Log — the audit trail summarized in Section 1.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Clean Data — all 10,113 unique records with decoded labels and a Job Family classification.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Pivot – By Year / Experience / Job Family / Size &amp; Remote / Top Countries — five COUNTIF/AVERAGEIF/MINIFS/MAXIFS-driven summary tables that recalculate automatically from Clean Data.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Forecast — a linear trend projection plus a 2-year moving-average alternative for 2025–2026.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Dashboard — KPI cards and six charts summarizing the full dataset at a glance.</w:t>
      </w:r>
    </w:p>
    <w:p>
      <w:pPr>
        <w:spacing w:after="160" w:line="276"/>
      </w:pPr>
      <w:r>
        <w:rPr>
          <w:sz w:val="22"/>
          <w:szCs w:val="22"/>
        </w:rPr>
        <w:t xml:space="preserve">All summary tables use formulas referencing the Clean Data tab directly, so the entire workbook updates automatically if a record is corrected or a new year of data is appended.</w:t>
      </w:r>
    </w:p>
    <w:p>
      <w:pPr>
        <w:pStyle w:val="Heading1"/>
        <w:spacing w:after="160" w:before="320"/>
      </w:pPr>
      <w:r>
        <w:t xml:space="preserve">3. Key Findings</w:t>
      </w:r>
    </w:p>
    <w:p>
      <w:pPr>
        <w:pStyle w:val="Heading2"/>
        <w:spacing w:after="120" w:before="240"/>
      </w:pPr>
      <w:r>
        <w:t xml:space="preserve">3.1 Salary Trend by Year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200"/>
      </w:tblGrid>
      <w:tr>
        <w:trPr>
          <w:tblHeader/>
        </w:trPr>
        <w:tc>
          <w:tcPr>
            <w:tcW w:type="dxa" w:w="18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2020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$102,251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216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$99,501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-2.7%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1,116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$131,650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32.3%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4,632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$150,645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14.4%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4,074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$149,564</w:t>
            </w:r>
          </w:p>
        </w:tc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-0.7%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2"/>
          <w:szCs w:val="22"/>
        </w:rPr>
        <w:t xml:space="preserve">Average salary grew strongly from 2020 to 2023 — including a 32.3% jump in 2022 and 14.4% in 2023 — before essentially plateauing in 2024 (-0.7%). Note that 2020 and 2021 have very small sample sizes (75 and 216 records respectively) compared to 2023–2024 (4,000+ each), so early-year averages are less statistically reliable and should be read as directional rather than precise.</w:t>
      </w:r>
    </w:p>
    <w:p>
      <w:pPr>
        <w:pStyle w:val="Heading2"/>
        <w:spacing w:after="120" w:before="240"/>
      </w:pPr>
      <w:r>
        <w:t xml:space="preserve">3.2 Salary by Experience Level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000"/>
      </w:tblGrid>
      <w:tr>
        <w:trPr>
          <w:tblHeader/>
        </w:trPr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Entry-level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1,011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$91,351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Mid-level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2,761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$124,117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27.3%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Senior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5,950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$163,331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58.8%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Executive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391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$195,219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3.9%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2"/>
          <w:szCs w:val="22"/>
        </w:rPr>
        <w:t xml:space="preserve">Experience level is the clearest driver of pay in the dataset. Senior-level professionals make up the majority of records (58.8%) and average $163,331, while Executives — a small group (3.9% of records) — average $195,219. Entry-level pay averages $91,351, meaning the typical Executive earns roughly 2.1x an Entry-level employee.</w:t>
      </w:r>
    </w:p>
    <w:p>
      <w:pPr>
        <w:pStyle w:val="Heading2"/>
        <w:spacing w:after="120" w:before="240"/>
      </w:pPr>
      <w:r>
        <w:t xml:space="preserve">3.3 Salary by Job Family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1800"/>
      </w:tblGrid>
      <w:tr>
        <w:trPr>
          <w:tblHeader/>
        </w:trPr>
        <w:tc>
          <w:tcPr>
            <w:tcW w:type="dxa" w:w="28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Family</w:t>
            </w:r>
          </w:p>
        </w:tc>
        <w:tc>
          <w:tcPr>
            <w:tcW w:type="dxa" w:w="18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4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18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798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$175,473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7.9%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Machine Learning / AI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1,639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$175,093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Architect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310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$168,203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3.1%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Management / Leadership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566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$158,500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5.6%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Science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2,166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$149,294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21.4%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Engineering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2,318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$146,318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22.9%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Business Intelligence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545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$118,267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Analytics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1,523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$105,811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15.1%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Other Data Roles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246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$105,805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2"/>
          <w:szCs w:val="22"/>
        </w:rPr>
        <w:t xml:space="preserve">Research ($175,473 average) and Machine Learning / AI ($175,093) are the top-paying job families, essentially tied at the top and well ahead of the broader Data Science ($149,294) and Data Engineering ($146,318) families, which are the two largest by volume (21.4% and 22.9% of records respectively). Business Intelligence and Data Analytics roles are the most numerous "entry-adjacent" categories and pay noticeably less on average ($118,267 and $105,811).</w:t>
      </w:r>
    </w:p>
    <w:p>
      <w:pPr>
        <w:pStyle w:val="Heading2"/>
        <w:spacing w:after="120" w:before="240"/>
      </w:pPr>
      <w:r>
        <w:t xml:space="preserve">3.4 Company Size and Work Arrangement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000"/>
      </w:tblGrid>
      <w:tr>
        <w:trPr>
          <w:tblHeader/>
        </w:trPr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Small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$86,780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1.8%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9,284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$149,586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91.8%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642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$121,828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6.3%</w:t>
            </w:r>
          </w:p>
        </w:tc>
      </w:tr>
    </w:tbl>
    <w:p>
      <w:pPr>
        <w:spacing w:after="200" w:before="120"/>
      </w:pP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000"/>
      </w:tblGrid>
      <w:tr>
        <w:trPr>
          <w:tblHeader/>
        </w:trPr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 Arrangement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On-site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6,394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$150,969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63.2%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Hybrid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247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$83,087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2.4%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Remote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3,472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$143,253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34.3%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2"/>
          <w:szCs w:val="22"/>
        </w:rPr>
        <w:t xml:space="preserve">Medium-sized companies dominate the dataset (91.8% of records) and pay the highest average salary ($149,586), ahead of Large ($121,828) and Small ($86,780) companies — though the Small-company sample is thin (187 records) and may reflect a mix of startups and boutique consultancies rather than a stable pattern. On-site roles average slightly more ($150,969) than Remote roles ($143,253), while Hybrid arrangements — the smallest group at 2.4% of records — average noticeably less ($83,087), which may reflect the specific mix of job families and seniority levels that happen to offer hybrid work in this dataset rather than a direct pay penalty for hybrid work itself.</w:t>
      </w:r>
    </w:p>
    <w:p>
      <w:pPr>
        <w:pStyle w:val="Heading2"/>
        <w:spacing w:after="120" w:before="240"/>
      </w:pPr>
      <w:r>
        <w:t xml:space="preserve">3.5 Geographic Distribution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600"/>
        <w:gridCol w:w="2000"/>
      </w:tblGrid>
      <w:tr>
        <w:trPr>
          <w:tblHeader/>
        </w:trPr>
        <w:tc>
          <w:tcPr>
            <w:tcW w:type="dxa" w:w="22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Company Location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2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Avg Salary (USD)</w:t>
            </w:r>
          </w:p>
        </w:tc>
        <w:tc>
          <w:tcPr>
            <w:tcW w:type="dxa" w:w="2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% of Records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8,378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$156,629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82.8%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GB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541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$96,289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5.3%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$143,411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4.0%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$94,131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1.0%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74</w:t>
            </w:r>
          </w:p>
        </w:tc>
        <w:tc>
          <w:tcPr>
            <w:tcW w:type="dxa" w:w="2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$58,775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0.7%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sz w:val="22"/>
          <w:szCs w:val="22"/>
        </w:rPr>
        <w:t xml:space="preserve">The dataset is heavily US-centric: 82.8% of all records are for US-based companies, and the US also pays the highest average salary among the top 5 markets ($156,629). The United Kingdom and Canada are a distant second and third by volume. Because non-US markets are comparatively thin, cross-country comparisons for smaller markets (Germany, Spain, and beyond) should be treated as indicative rather than statistically robust.</w:t>
      </w:r>
    </w:p>
    <w:p>
      <w:pPr>
        <w:pStyle w:val="Heading1"/>
        <w:spacing w:after="160" w:before="320"/>
      </w:pPr>
      <w:r>
        <w:t xml:space="preserve">4. Predictions &amp; Forecast</w:t>
      </w:r>
    </w:p>
    <w:p>
      <w:pPr>
        <w:pStyle w:val="Heading2"/>
        <w:spacing w:after="120" w:before="240"/>
      </w:pPr>
      <w:r>
        <w:t xml:space="preserve">4.1 Linear Trend Projection</w:t>
      </w:r>
    </w:p>
    <w:p>
      <w:pPr>
        <w:spacing w:after="160" w:line="276"/>
      </w:pPr>
      <w:r>
        <w:rPr>
          <w:sz w:val="22"/>
          <w:szCs w:val="22"/>
        </w:rPr>
        <w:t xml:space="preserve">A least-squares trend line (SLOPE/INTERCEPT) was fitted to the 5 years of actual average salary (2020–2024) and extended 2 years forward:</w:t>
      </w:r>
    </w:p>
    <w:tbl>
      <w:tblPr>
        <w:tblW w:type="dxa" w:w="6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</w:tblGrid>
      <w:tr>
        <w:trPr>
          <w:tblHeader/>
        </w:trPr>
        <w:tc>
          <w:tcPr>
            <w:tcW w:type="dxa" w:w="30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600"/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Trend-Projected Avg Salary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$170,453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$185,030</w:t>
            </w:r>
          </w:p>
        </w:tc>
      </w:tr>
    </w:tbl>
    <w:p>
      <w:pPr>
        <w:spacing w:before="200"/>
      </w:pPr>
    </w:p>
    <w:p>
      <w:pPr>
        <w:spacing w:after="160" w:line="276"/>
      </w:pPr>
      <w:r>
        <w:rPr>
          <w:i/>
          <w:iCs/>
          <w:color w:val="C00000"/>
          <w:sz w:val="22"/>
          <w:szCs w:val="22"/>
        </w:rPr>
        <w:t xml:space="preserve">This trend line fits the historical data reasonably well (R² = 86.4%), reflecting the strong, fairly steady growth from 2020–2023. However, 2024's near-flat result (-0.7% YoY) is the first sign the multi-year growth trend may be slowing, and the trend line does not "know" about that inflection — it will tend to overstate near-term growth if the plateau continues.</w:t>
      </w:r>
    </w:p>
    <w:p>
      <w:pPr>
        <w:pStyle w:val="Heading2"/>
        <w:spacing w:after="120" w:before="240"/>
      </w:pPr>
      <w:r>
        <w:t xml:space="preserve">4.2 Moving-Average Alternative (Recommended for Near-Term Planning)</w:t>
      </w:r>
    </w:p>
    <w:p>
      <w:pPr>
        <w:spacing w:after="160" w:line="276"/>
      </w:pPr>
      <w:r>
        <w:rPr>
          <w:sz w:val="22"/>
          <w:szCs w:val="22"/>
        </w:rPr>
        <w:t xml:space="preserve">A trailing 2-year average of 2023–2024 actuals gives a more conservative near-term estimate of $150,105, consistent with the plateau observed in the most recent year and a more grounded starting point than the trend line for 2025 budget planning.</w:t>
      </w:r>
    </w:p>
    <w:p>
      <w:pPr>
        <w:pStyle w:val="Heading2"/>
        <w:spacing w:after="120" w:before="240"/>
      </w:pPr>
      <w:r>
        <w:t xml:space="preserve">4.3 Recommendation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Use the moving-average figure (~$150,000) for near-term (2025) compensation budgeting, since it reflects the recent plateau rather than the earlier high-growth years.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Treat the linear trend's 2026 projection ($185,030) as an upper-bound scenario rather than a base case, given the 2024 slowdown.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Weight 2020–2021 figures cautiously in any further modeling — their small sample sizes (75 and 216 records) make them the least statistically reliable points in the trend line.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Revisit the forecast once 2025 actuals are available to confirm whether the 2024 plateau was a one-year pause or the start of a longer-term slowdown.</w:t>
      </w:r>
    </w:p>
    <w:p>
      <w:pPr>
        <w:pStyle w:val="Heading1"/>
        <w:spacing w:after="160" w:before="320"/>
      </w:pPr>
      <w:r>
        <w:t xml:space="preserve">5. Conclusion</w:t>
      </w:r>
    </w:p>
    <w:p>
      <w:pPr>
        <w:spacing w:after="160" w:line="276"/>
      </w:pPr>
      <w:r>
        <w:rPr>
          <w:sz w:val="22"/>
          <w:szCs w:val="22"/>
        </w:rPr>
        <w:t xml:space="preserve">After cleaning, the Data Science Salaries dataset covers 10,113 unique records with a clear, consistent story: pay scales strongly with seniority, Research and Machine Learning/AI roles command a premium over other job families, and the market is overwhelmingly concentrated in the United States. The multi-year growth trend that carried average salaries from $102,251 in 2020 to $150,645 in 2023 appears to have paused in 2024, making near-term forecasts sensitive to which method is used. The cleaned workbook's pivot tables and dashboard give a reliable, formula-driven view of the data by year, experience, job family, company size, remote arrangement, and geography, while the Forecast tab offers two transparent, methodologically distinct starting points for 2025–2026 planning.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6"/>
        <w:szCs w:val="16"/>
      </w:rPr>
      <w:t xml:space="preserve">Data Science Salaries 2024 —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2026-07-21T11:16:31.199Z</dcterms:created>
  <dcterms:modified xsi:type="dcterms:W3CDTF">2026-07-21T11:16:31.199Z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