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8"/>
          <w:sz w:val="44"/>
          <w:szCs w:val="44"/>
        </w:rPr>
        <w:t xml:space="preserve">CRYSTAL POOLS</w:t>
      </w:r>
    </w:p>
    <w:p>
      <w:pPr>
        <w:spacing w:after="320"/>
      </w:pPr>
      <w:r>
        <w:rPr>
          <w:color w:val="595959"/>
          <w:sz w:val="28"/>
          <w:szCs w:val="28"/>
        </w:rPr>
        <w:t xml:space="preserve">Annual Sales Analysis, Dashboard &amp; Forecast Report</w:t>
      </w:r>
    </w:p>
    <w:p>
      <w:pPr>
        <w:spacing w:after="40"/>
      </w:pPr>
      <w:r>
        <w:rPr>
          <w:i/>
          <w:iCs/>
          <w:color w:val="595959"/>
          <w:sz w:val="20"/>
          <w:szCs w:val="20"/>
        </w:rPr>
        <w:t xml:space="preserve">Reporting Period: January – December  |  Prepared: July 20, 2026</w:t>
      </w:r>
    </w:p>
    <w:p>
      <w:pPr>
        <w:pBdr>
          <w:bottom w:val="single" w:color="1F4E78" w:sz="12" w:space="4"/>
        </w:pBdr>
        <w:spacing w:after="300"/>
      </w:pPr>
    </w:p>
    <w:p>
      <w:pPr>
        <w:pStyle w:val="Heading1"/>
        <w:spacing w:after="160" w:before="320"/>
      </w:pPr>
      <w:r>
        <w:t xml:space="preserve">Executive Summary</w:t>
      </w:r>
    </w:p>
    <w:p>
      <w:pPr>
        <w:spacing w:after="160" w:line="276"/>
      </w:pPr>
      <w:r>
        <w:rPr>
          <w:sz w:val="22"/>
          <w:szCs w:val="22"/>
        </w:rPr>
        <w:t xml:space="preserve">Crystal Pools' raw transaction log of 171 sales records for the year was cleaned, validated, and rebuilt into a structured workbook with live formulas, four pivot-style summary tables, an interactive dashboard, and a 3-month forward revenue forecast. After cleaning, the business generated $17,110.60 in total revenue and $6,356.70 in gross profit across 171 transactions, for an overall profit margin of 37.2%.</w:t>
      </w:r>
    </w:p>
    <w:p>
      <w:pPr>
        <w:spacing w:after="160" w:line="276"/>
      </w:pPr>
      <w:r>
        <w:rPr>
          <w:sz w:val="22"/>
          <w:szCs w:val="22"/>
        </w:rPr>
        <w:t xml:space="preserve">Sales are heavily seasonal: July alone accounted for $3,992.30 in revenue (23% of the annual total), with a clear summer peak (Jun–Sep) and a spring/early-summer trough (Apr–Jun). The Water Pump is the single most important product, driving 59% of total revenue despite being one of ten SKUs sold. Doug Smith logged the most transactions (66) while Charlie Barns generated the highest total revenue ($6,003.50). Arizona is the top-performing state by both revenue and transaction volume.</w:t>
      </w:r>
    </w:p>
    <w:p>
      <w:pPr>
        <w:pStyle w:val="Heading1"/>
        <w:spacing w:after="160" w:before="320"/>
      </w:pPr>
      <w:r>
        <w:t xml:space="preserve">1. Data Cleaning Process</w:t>
      </w:r>
    </w:p>
    <w:p>
      <w:pPr>
        <w:spacing w:after="160" w:line="276"/>
      </w:pPr>
      <w:r>
        <w:rPr>
          <w:sz w:val="22"/>
          <w:szCs w:val="22"/>
        </w:rPr>
        <w:t xml:space="preserve">The raw file (Sheet1, 171 transaction rows) was reviewed systematically for structural and content issues before any analysis was performed. The table below documents every issue found and the correction applied. All corrections were made non-destructively — the full set of 171 original transactions is retained; nothing was deleted.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800"/>
        <w:gridCol w:w="1600"/>
      </w:tblGrid>
      <w:tr>
        <w:trPr>
          <w:tblHeader/>
        </w:trPr>
        <w:tc>
          <w:tcPr>
            <w:tcW w:type="dxa" w:w="2600"/>
            <w:shd w:fill="1F4E78" w:color="auto" w:val="clear"/>
            <w:tcMar>
              <w:top w:type="dxa" w:w="80"/>
              <w:left w:type="dxa" w:w="120"/>
              <w:bottom w:type="dxa" w:w="80"/>
              <w:right w:type="dxa" w:w="120"/>
            </w:tcMar>
            <w:vAlign w:val="center"/>
          </w:tcPr>
          <w:p>
            <w:pPr>
              <w:jc w:val="center"/>
            </w:pPr>
            <w:r>
              <w:rPr>
                <w:b/>
                <w:bCs/>
                <w:color w:val="FFFFFF"/>
                <w:sz w:val="20"/>
                <w:szCs w:val="20"/>
              </w:rPr>
              <w:t xml:space="preserve">Issue Found</w:t>
            </w:r>
          </w:p>
        </w:tc>
        <w:tc>
          <w:tcPr>
            <w:tcW w:type="dxa" w:w="5800"/>
            <w:shd w:fill="1F4E78" w:color="auto" w:val="clear"/>
            <w:tcMar>
              <w:top w:type="dxa" w:w="80"/>
              <w:left w:type="dxa" w:w="120"/>
              <w:bottom w:type="dxa" w:w="80"/>
              <w:right w:type="dxa" w:w="120"/>
            </w:tcMar>
            <w:vAlign w:val="center"/>
          </w:tcPr>
          <w:p>
            <w:pPr>
              <w:jc w:val="center"/>
            </w:pPr>
            <w:r>
              <w:rPr>
                <w:b/>
                <w:bCs/>
                <w:color w:val="FFFFFF"/>
                <w:sz w:val="20"/>
                <w:szCs w:val="20"/>
              </w:rPr>
              <w:t xml:space="preserve">Correction Applied</w:t>
            </w:r>
          </w:p>
        </w:tc>
        <w:tc>
          <w:tcPr>
            <w:tcW w:type="dxa" w:w="1600"/>
            <w:shd w:fill="1F4E78" w:color="auto" w:val="clear"/>
            <w:tcMar>
              <w:top w:type="dxa" w:w="80"/>
              <w:left w:type="dxa" w:w="120"/>
              <w:bottom w:type="dxa" w:w="80"/>
              <w:right w:type="dxa" w:w="120"/>
            </w:tcMar>
            <w:vAlign w:val="center"/>
          </w:tcPr>
          <w:p>
            <w:pPr>
              <w:jc w:val="center"/>
            </w:pPr>
            <w:r>
              <w:rPr>
                <w:b/>
                <w:bCs/>
                <w:color w:val="FFFFFF"/>
                <w:sz w:val="20"/>
                <w:szCs w:val="20"/>
              </w:rPr>
              <w:t xml:space="preserve">Rows Affected</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Sales-person name typos</w:t>
            </w:r>
          </w:p>
        </w:tc>
        <w:tc>
          <w:tcPr>
            <w:tcW w:type="dxa" w:w="58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'Chalie Barns' -&gt; 'Charlie Barns'; 'Hellen Johnson' -&gt; 'Helen Johnson'</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64 rows</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Product description typo</w:t>
            </w:r>
          </w:p>
        </w:tc>
        <w:tc>
          <w:tcPr>
            <w:tcW w:type="dxa" w:w="5800"/>
            <w:tcMar>
              <w:top w:type="dxa" w:w="80"/>
              <w:left w:type="dxa" w:w="120"/>
              <w:bottom w:type="dxa" w:w="80"/>
              <w:right w:type="dxa" w:w="120"/>
            </w:tcMar>
            <w:vAlign w:val="center"/>
          </w:tcPr>
          <w:p>
            <w:pPr>
              <w:jc w:val="center"/>
            </w:pPr>
            <w:r>
              <w:rPr>
                <w:b w:val="false"/>
                <w:bCs w:val="false"/>
                <w:color w:val="000000"/>
                <w:sz w:val="20"/>
                <w:szCs w:val="20"/>
              </w:rPr>
              <w:t xml:space="preserve">'Algea Killer 8 oz' -&gt; 'Algae Killer 8 oz'</w:t>
            </w:r>
          </w:p>
        </w:tc>
        <w:tc>
          <w:tcPr>
            <w:tcW w:type="dxa" w:w="1600"/>
            <w:tcMar>
              <w:top w:type="dxa" w:w="80"/>
              <w:left w:type="dxa" w:w="120"/>
              <w:bottom w:type="dxa" w:w="80"/>
              <w:right w:type="dxa" w:w="120"/>
            </w:tcMar>
            <w:vAlign w:val="center"/>
          </w:tcPr>
          <w:p>
            <w:pPr>
              <w:jc w:val="center"/>
            </w:pPr>
            <w:r>
              <w:rPr>
                <w:b w:val="false"/>
                <w:bCs w:val="false"/>
                <w:color w:val="000000"/>
                <w:sz w:val="20"/>
                <w:szCs w:val="20"/>
              </w:rPr>
              <w:t xml:space="preserve">15 rows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Inconsistent month labels</w:t>
            </w:r>
          </w:p>
        </w:tc>
        <w:tc>
          <w:tcPr>
            <w:tcW w:type="dxa" w:w="58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'April'-&gt;'Apr', 'June'-&gt;'Jun', 'July'-&gt;'Jul', 'Sept'-&gt;'Sep' (standardized to 3-letter form)</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66 rows</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Duplicate transaction numbers</w:t>
            </w:r>
          </w:p>
        </w:tc>
        <w:tc>
          <w:tcPr>
            <w:tcW w:type="dxa" w:w="5800"/>
            <w:tcMar>
              <w:top w:type="dxa" w:w="80"/>
              <w:left w:type="dxa" w:w="120"/>
              <w:bottom w:type="dxa" w:w="80"/>
              <w:right w:type="dxa" w:w="120"/>
            </w:tcMar>
            <w:vAlign w:val="center"/>
          </w:tcPr>
          <w:p>
            <w:pPr>
              <w:jc w:val="center"/>
            </w:pPr>
            <w:r>
              <w:rPr>
                <w:b w:val="false"/>
                <w:bCs w:val="false"/>
                <w:color w:val="000000"/>
                <w:sz w:val="20"/>
                <w:szCs w:val="20"/>
              </w:rPr>
              <w:t xml:space="preserve">Checked all 171 Transaction Numbers for duplicates</w:t>
            </w:r>
          </w:p>
        </w:tc>
        <w:tc>
          <w:tcPr>
            <w:tcW w:type="dxa" w:w="1600"/>
            <w:tcMar>
              <w:top w:type="dxa" w:w="80"/>
              <w:left w:type="dxa" w:w="120"/>
              <w:bottom w:type="dxa" w:w="80"/>
              <w:right w:type="dxa" w:w="120"/>
            </w:tcMar>
            <w:vAlign w:val="center"/>
          </w:tcPr>
          <w:p>
            <w:pPr>
              <w:jc w:val="center"/>
            </w:pPr>
            <w:r>
              <w:rPr>
                <w:b w:val="false"/>
                <w:bCs w:val="false"/>
                <w:color w:val="000000"/>
                <w:sz w:val="20"/>
                <w:szCs w:val="20"/>
              </w:rPr>
              <w:t xml:space="preserve">0 found</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Missing Profit values</w:t>
            </w:r>
          </w:p>
        </w:tc>
        <w:tc>
          <w:tcPr>
            <w:tcW w:type="dxa" w:w="58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Column was blank for every row; rebuilt as a live formula (Sale Price - Store Cost)</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171 rows</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Missing Commission values</w:t>
            </w:r>
          </w:p>
        </w:tc>
        <w:tc>
          <w:tcPr>
            <w:tcW w:type="dxa" w:w="5800"/>
            <w:tcMar>
              <w:top w:type="dxa" w:w="80"/>
              <w:left w:type="dxa" w:w="120"/>
              <w:bottom w:type="dxa" w:w="80"/>
              <w:right w:type="dxa" w:w="120"/>
            </w:tcMar>
            <w:vAlign w:val="center"/>
          </w:tcPr>
          <w:p>
            <w:pPr>
              <w:jc w:val="center"/>
            </w:pPr>
            <w:r>
              <w:rPr>
                <w:b w:val="false"/>
                <w:bCs w:val="false"/>
                <w:color w:val="000000"/>
                <w:sz w:val="20"/>
                <w:szCs w:val="20"/>
              </w:rPr>
              <w:t xml:space="preserve">Column was blank for every row; rebuilt as a live formula (Profit x 10%)</w:t>
            </w:r>
          </w:p>
        </w:tc>
        <w:tc>
          <w:tcPr>
            <w:tcW w:type="dxa" w:w="1600"/>
            <w:tcMar>
              <w:top w:type="dxa" w:w="80"/>
              <w:left w:type="dxa" w:w="120"/>
              <w:bottom w:type="dxa" w:w="80"/>
              <w:right w:type="dxa" w:w="120"/>
            </w:tcMar>
            <w:vAlign w:val="center"/>
          </w:tcPr>
          <w:p>
            <w:pPr>
              <w:jc w:val="center"/>
            </w:pPr>
            <w:r>
              <w:rPr>
                <w:b w:val="false"/>
                <w:bCs w:val="false"/>
                <w:color w:val="000000"/>
                <w:sz w:val="20"/>
                <w:szCs w:val="20"/>
              </w:rPr>
              <w:t xml:space="preserve">171 rows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Stray whitespace</w:t>
            </w:r>
          </w:p>
        </w:tc>
        <w:tc>
          <w:tcPr>
            <w:tcW w:type="dxa" w:w="58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Trimmed leading/trailing spaces from all text fields as a safeguard</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checked, none found</w:t>
            </w:r>
          </w:p>
        </w:tc>
      </w:tr>
    </w:tbl>
    <w:p>
      <w:pPr>
        <w:spacing w:after="160" w:before="200"/>
      </w:pPr>
      <w:r>
        <w:rPr>
          <w:sz w:val="4"/>
          <w:szCs w:val="4"/>
        </w:rPr>
        <w:t xml:space="preserve"/>
      </w:r>
    </w:p>
    <w:p>
      <w:pPr>
        <w:pStyle w:val="Heading2"/>
        <w:spacing w:after="120" w:before="240"/>
      </w:pPr>
      <w:r>
        <w:t xml:space="preserve">Rebuilding the Profit and Commission Columns</w:t>
      </w:r>
    </w:p>
    <w:p>
      <w:pPr>
        <w:spacing w:after="160" w:line="276"/>
      </w:pPr>
      <w:r>
        <w:rPr>
          <w:sz w:val="22"/>
          <w:szCs w:val="22"/>
        </w:rPr>
        <w:t xml:space="preserve">The Profit and Commission (10%) columns existed as headers in the raw file but contained no values in any of the 171 rows. Rather than pasting in static numbers, both columns were rebuilt as live Excel formulas so the workbook stays accurate if costs or prices are ever updated:</w:t>
      </w:r>
    </w:p>
    <w:p>
      <w:pPr>
        <w:pStyle w:val="ListParagraph"/>
        <w:numPr>
          <w:ilvl w:val="0"/>
          <w:numId w:val="1"/>
        </w:numPr>
        <w:spacing w:after="90"/>
      </w:pPr>
      <w:r>
        <w:rPr>
          <w:sz w:val="22"/>
          <w:szCs w:val="22"/>
        </w:rPr>
        <w:t xml:space="preserve">Profit = Sale Price − Store Cost</w:t>
      </w:r>
    </w:p>
    <w:p>
      <w:pPr>
        <w:pStyle w:val="ListParagraph"/>
        <w:numPr>
          <w:ilvl w:val="0"/>
          <w:numId w:val="1"/>
        </w:numPr>
        <w:spacing w:after="90"/>
      </w:pPr>
      <w:r>
        <w:rPr>
          <w:sz w:val="22"/>
          <w:szCs w:val="22"/>
        </w:rPr>
        <w:t xml:space="preserve">Commission (10%) = Profit × 0.10</w:t>
      </w:r>
    </w:p>
    <w:p>
      <w:pPr>
        <w:pStyle w:val="Heading2"/>
        <w:spacing w:after="120" w:before="240"/>
      </w:pPr>
      <w:r>
        <w:t xml:space="preserve">Standardizing Categorical Fields</w:t>
      </w:r>
    </w:p>
    <w:p>
      <w:pPr>
        <w:spacing w:after="160" w:line="276"/>
      </w:pPr>
      <w:r>
        <w:rPr>
          <w:sz w:val="22"/>
          <w:szCs w:val="22"/>
        </w:rPr>
        <w:t xml:space="preserve">Month names were entered inconsistently (a mix of 3-letter abbreviations and full names such as "April", "June", "July", and "Sept"). All months were standardized to a consistent 3-letter format (Jan–Dec) and a numeric Month Number column was added so the data sorts and charts correctly in calendar order. Two sales-person names and one product description contained spelling inconsistencies across otherwise-identical entries; these were consolidated to a single correct spelling so each person/product rolls up into one row in the pivot tables instead of being split across variants.</w:t>
      </w:r>
    </w:p>
    <w:p>
      <w:pPr>
        <w:pStyle w:val="Heading2"/>
        <w:spacing w:after="120" w:before="240"/>
      </w:pPr>
      <w:r>
        <w:t xml:space="preserve">Validation Checks Performed</w:t>
      </w:r>
    </w:p>
    <w:p>
      <w:pPr>
        <w:pStyle w:val="ListParagraph"/>
        <w:numPr>
          <w:ilvl w:val="0"/>
          <w:numId w:val="1"/>
        </w:numPr>
        <w:spacing w:after="90"/>
      </w:pPr>
      <w:r>
        <w:rPr>
          <w:sz w:val="22"/>
          <w:szCs w:val="22"/>
        </w:rPr>
        <w:t xml:space="preserve">Checked all 171 Transaction Numbers for duplicates — none found.</w:t>
      </w:r>
    </w:p>
    <w:p>
      <w:pPr>
        <w:pStyle w:val="ListParagraph"/>
        <w:numPr>
          <w:ilvl w:val="0"/>
          <w:numId w:val="1"/>
        </w:numPr>
        <w:spacing w:after="90"/>
      </w:pPr>
      <w:r>
        <w:rPr>
          <w:sz w:val="22"/>
          <w:szCs w:val="22"/>
        </w:rPr>
        <w:t xml:space="preserve">Checked for Sale Price lower than Store Cost (a data-entry red flag) — none found.</w:t>
      </w:r>
    </w:p>
    <w:p>
      <w:pPr>
        <w:pStyle w:val="ListParagraph"/>
        <w:numPr>
          <w:ilvl w:val="0"/>
          <w:numId w:val="1"/>
        </w:numPr>
        <w:spacing w:after="90"/>
      </w:pPr>
      <w:r>
        <w:rPr>
          <w:sz w:val="22"/>
          <w:szCs w:val="22"/>
        </w:rPr>
        <w:t xml:space="preserve">Checked that every Product Code maps to exactly one Product Description, and vice versa — confirmed consistent.</w:t>
      </w:r>
    </w:p>
    <w:p>
      <w:pPr>
        <w:pStyle w:val="ListParagraph"/>
        <w:numPr>
          <w:ilvl w:val="0"/>
          <w:numId w:val="1"/>
        </w:numPr>
        <w:spacing w:after="90"/>
      </w:pPr>
      <w:r>
        <w:rPr>
          <w:sz w:val="22"/>
          <w:szCs w:val="22"/>
        </w:rPr>
        <w:t xml:space="preserve">Checked for missing/blank cells in every column — only Profit and Commission were blank, both addressed above.</w:t>
      </w:r>
    </w:p>
    <w:p>
      <w:pPr>
        <w:pStyle w:val="Heading1"/>
        <w:spacing w:after="160" w:before="320"/>
      </w:pPr>
      <w:r>
        <w:t xml:space="preserve">2. Workbook Structure &amp; Methodology</w:t>
      </w:r>
    </w:p>
    <w:p>
      <w:pPr>
        <w:spacing w:after="160" w:line="276"/>
      </w:pPr>
      <w:r>
        <w:rPr>
          <w:sz w:val="22"/>
          <w:szCs w:val="22"/>
        </w:rPr>
        <w:t xml:space="preserve">The deliverable workbook (CrystalPools_Cleaned_Report.xlsx) contains the following tabs:</w:t>
      </w:r>
    </w:p>
    <w:p>
      <w:pPr>
        <w:pStyle w:val="ListParagraph"/>
        <w:numPr>
          <w:ilvl w:val="0"/>
          <w:numId w:val="1"/>
        </w:numPr>
        <w:spacing w:after="90"/>
      </w:pPr>
      <w:r>
        <w:rPr>
          <w:sz w:val="22"/>
          <w:szCs w:val="22"/>
        </w:rPr>
        <w:t xml:space="preserve">Cleaning Log — the audit trail summarized in Section 1.</w:t>
      </w:r>
    </w:p>
    <w:p>
      <w:pPr>
        <w:pStyle w:val="ListParagraph"/>
        <w:numPr>
          <w:ilvl w:val="0"/>
          <w:numId w:val="1"/>
        </w:numPr>
        <w:spacing w:after="90"/>
      </w:pPr>
      <w:r>
        <w:rPr>
          <w:sz w:val="22"/>
          <w:szCs w:val="22"/>
        </w:rPr>
        <w:t xml:space="preserve">Clean Data — all 171 transactions with corrected values and live Profit/Commission formulas.</w:t>
      </w:r>
    </w:p>
    <w:p>
      <w:pPr>
        <w:pStyle w:val="ListParagraph"/>
        <w:numPr>
          <w:ilvl w:val="0"/>
          <w:numId w:val="1"/>
        </w:numPr>
        <w:spacing w:after="90"/>
      </w:pPr>
      <w:r>
        <w:rPr>
          <w:sz w:val="22"/>
          <w:szCs w:val="22"/>
        </w:rPr>
        <w:t xml:space="preserve">Pivot – Monthly / Product / Sales Person / Location — four SUMIFS/COUNTIFS-driven summary tables that recalculate automatically from Clean Data.</w:t>
      </w:r>
    </w:p>
    <w:p>
      <w:pPr>
        <w:pStyle w:val="ListParagraph"/>
        <w:numPr>
          <w:ilvl w:val="0"/>
          <w:numId w:val="1"/>
        </w:numPr>
        <w:spacing w:after="90"/>
      </w:pPr>
      <w:r>
        <w:rPr>
          <w:sz w:val="22"/>
          <w:szCs w:val="22"/>
        </w:rPr>
        <w:t xml:space="preserve">Forecast — a linear trend projection plus a moving-average alternative for the next 3 months.</w:t>
      </w:r>
    </w:p>
    <w:p>
      <w:pPr>
        <w:pStyle w:val="ListParagraph"/>
        <w:numPr>
          <w:ilvl w:val="0"/>
          <w:numId w:val="1"/>
        </w:numPr>
        <w:spacing w:after="90"/>
      </w:pPr>
      <w:r>
        <w:rPr>
          <w:sz w:val="22"/>
          <w:szCs w:val="22"/>
        </w:rPr>
        <w:t xml:space="preserve">Dashboard — KPI cards and six charts summarizing the full year at a glance.</w:t>
      </w:r>
    </w:p>
    <w:p>
      <w:pPr>
        <w:spacing w:after="160" w:line="276"/>
      </w:pPr>
      <w:r>
        <w:rPr>
          <w:sz w:val="22"/>
          <w:szCs w:val="22"/>
        </w:rPr>
        <w:t xml:space="preserve">All summary tables use formulas (SUMIF/COUNTIF/IFERROR) referencing the Clean Data tab directly, so the entire workbook — pivot tables, dashboard KPIs, and forecast — updates automatically if a transaction is corrected or a new month of data is appended.</w:t>
      </w:r>
    </w:p>
    <w:p>
      <w:pPr>
        <w:pStyle w:val="Heading1"/>
        <w:spacing w:after="160" w:before="320"/>
      </w:pPr>
      <w:r>
        <w:t xml:space="preserve">3. Key Findings</w:t>
      </w:r>
    </w:p>
    <w:p>
      <w:pPr>
        <w:pStyle w:val="Heading2"/>
        <w:spacing w:after="120" w:before="240"/>
      </w:pPr>
      <w:r>
        <w:t xml:space="preserve">3.1 Monthly Performance</w:t>
      </w:r>
    </w:p>
    <w:p>
      <w:pPr>
        <w:spacing w:after="160" w:line="276"/>
      </w:pPr>
      <w:r>
        <w:rPr>
          <w:sz w:val="22"/>
          <w:szCs w:val="22"/>
        </w:rPr>
        <w:t xml:space="preserve">Revenue and profit by month, after cleaning: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100"/>
        <w:gridCol w:w="2100"/>
        <w:gridCol w:w="1600"/>
      </w:tblGrid>
      <w:tr>
        <w:trPr>
          <w:tblHeader/>
        </w:trPr>
        <w:tc>
          <w:tcPr>
            <w:tcW w:type="dxa" w:w="1400"/>
            <w:shd w:fill="1F4E78" w:color="auto" w:val="clear"/>
            <w:tcMar>
              <w:top w:type="dxa" w:w="80"/>
              <w:left w:type="dxa" w:w="120"/>
              <w:bottom w:type="dxa" w:w="80"/>
              <w:right w:type="dxa" w:w="120"/>
            </w:tcMar>
            <w:vAlign w:val="center"/>
          </w:tcPr>
          <w:p>
            <w:pPr>
              <w:jc w:val="center"/>
            </w:pPr>
            <w:r>
              <w:rPr>
                <w:b/>
                <w:bCs/>
                <w:color w:val="FFFFFF"/>
                <w:sz w:val="20"/>
                <w:szCs w:val="20"/>
              </w:rPr>
              <w:t xml:space="preserve">Month</w:t>
            </w:r>
          </w:p>
        </w:tc>
        <w:tc>
          <w:tcPr>
            <w:tcW w:type="dxa" w:w="1900"/>
            <w:shd w:fill="1F4E78" w:color="auto" w:val="clear"/>
            <w:tcMar>
              <w:top w:type="dxa" w:w="80"/>
              <w:left w:type="dxa" w:w="120"/>
              <w:bottom w:type="dxa" w:w="80"/>
              <w:right w:type="dxa" w:w="120"/>
            </w:tcMar>
            <w:vAlign w:val="center"/>
          </w:tcPr>
          <w:p>
            <w:pPr>
              <w:jc w:val="center"/>
            </w:pPr>
            <w:r>
              <w:rPr>
                <w:b/>
                <w:bCs/>
                <w:color w:val="FFFFFF"/>
                <w:sz w:val="20"/>
                <w:szCs w:val="20"/>
              </w:rPr>
              <w:t xml:space="preserve">Transactions</w:t>
            </w:r>
          </w:p>
        </w:tc>
        <w:tc>
          <w:tcPr>
            <w:tcW w:type="dxa" w:w="2100"/>
            <w:shd w:fill="1F4E78" w:color="auto" w:val="clear"/>
            <w:tcMar>
              <w:top w:type="dxa" w:w="80"/>
              <w:left w:type="dxa" w:w="120"/>
              <w:bottom w:type="dxa" w:w="80"/>
              <w:right w:type="dxa" w:w="120"/>
            </w:tcMar>
            <w:vAlign w:val="center"/>
          </w:tcPr>
          <w:p>
            <w:pPr>
              <w:jc w:val="center"/>
            </w:pPr>
            <w:r>
              <w:rPr>
                <w:b/>
                <w:bCs/>
                <w:color w:val="FFFFFF"/>
                <w:sz w:val="20"/>
                <w:szCs w:val="20"/>
              </w:rPr>
              <w:t xml:space="preserve">Revenue</w:t>
            </w:r>
          </w:p>
        </w:tc>
        <w:tc>
          <w:tcPr>
            <w:tcW w:type="dxa" w:w="2100"/>
            <w:shd w:fill="1F4E78" w:color="auto" w:val="clear"/>
            <w:tcMar>
              <w:top w:type="dxa" w:w="80"/>
              <w:left w:type="dxa" w:w="120"/>
              <w:bottom w:type="dxa" w:w="80"/>
              <w:right w:type="dxa" w:w="120"/>
            </w:tcMar>
            <w:vAlign w:val="center"/>
          </w:tcPr>
          <w:p>
            <w:pPr>
              <w:jc w:val="center"/>
            </w:pPr>
            <w:r>
              <w:rPr>
                <w:b/>
                <w:bCs/>
                <w:color w:val="FFFFFF"/>
                <w:sz w:val="20"/>
                <w:szCs w:val="20"/>
              </w:rPr>
              <w:t xml:space="preserve">Profit</w:t>
            </w:r>
          </w:p>
        </w:tc>
        <w:tc>
          <w:tcPr>
            <w:tcW w:type="dxa" w:w="1600"/>
            <w:shd w:fill="1F4E78" w:color="auto" w:val="clear"/>
            <w:tcMar>
              <w:top w:type="dxa" w:w="80"/>
              <w:left w:type="dxa" w:w="120"/>
              <w:bottom w:type="dxa" w:w="80"/>
              <w:right w:type="dxa" w:w="120"/>
            </w:tcMar>
            <w:vAlign w:val="center"/>
          </w:tcPr>
          <w:p>
            <w:pPr>
              <w:jc w:val="center"/>
            </w:pPr>
            <w:r>
              <w:rPr>
                <w:b/>
                <w:bCs/>
                <w:color w:val="FFFFFF"/>
                <w:sz w:val="20"/>
                <w:szCs w:val="20"/>
              </w:rPr>
              <w:t xml:space="preserve">Margin</w:t>
            </w:r>
          </w:p>
        </w:tc>
      </w:tr>
      <w:tr>
        <w:tc>
          <w:tcPr>
            <w:tcW w:type="dxa" w:w="14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Jan</w:t>
            </w:r>
          </w:p>
        </w:tc>
        <w:tc>
          <w:tcPr>
            <w:tcW w:type="dxa" w:w="19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16</w:t>
            </w:r>
          </w:p>
        </w:tc>
        <w:tc>
          <w:tcPr>
            <w:tcW w:type="dxa" w:w="21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$1,418.70</w:t>
            </w:r>
          </w:p>
        </w:tc>
        <w:tc>
          <w:tcPr>
            <w:tcW w:type="dxa" w:w="21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$486.70</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34.3%</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Feb</w:t>
            </w:r>
          </w:p>
        </w:tc>
        <w:tc>
          <w:tcPr>
            <w:tcW w:type="dxa" w:w="1900"/>
            <w:tcMar>
              <w:top w:type="dxa" w:w="80"/>
              <w:left w:type="dxa" w:w="120"/>
              <w:bottom w:type="dxa" w:w="80"/>
              <w:right w:type="dxa" w:w="120"/>
            </w:tcMar>
            <w:vAlign w:val="center"/>
          </w:tcPr>
          <w:p>
            <w:pPr>
              <w:jc w:val="center"/>
            </w:pPr>
            <w:r>
              <w:rPr>
                <w:b w:val="false"/>
                <w:bCs w:val="false"/>
                <w:color w:val="000000"/>
                <w:sz w:val="20"/>
                <w:szCs w:val="20"/>
              </w:rPr>
              <w:t xml:space="preserve">18</w:t>
            </w:r>
          </w:p>
        </w:tc>
        <w:tc>
          <w:tcPr>
            <w:tcW w:type="dxa" w:w="2100"/>
            <w:tcMar>
              <w:top w:type="dxa" w:w="80"/>
              <w:left w:type="dxa" w:w="120"/>
              <w:bottom w:type="dxa" w:w="80"/>
              <w:right w:type="dxa" w:w="120"/>
            </w:tcMar>
            <w:vAlign w:val="center"/>
          </w:tcPr>
          <w:p>
            <w:pPr>
              <w:jc w:val="center"/>
            </w:pPr>
            <w:r>
              <w:rPr>
                <w:b w:val="false"/>
                <w:bCs w:val="false"/>
                <w:color w:val="000000"/>
                <w:sz w:val="20"/>
                <w:szCs w:val="20"/>
              </w:rPr>
              <w:t xml:space="preserve">$971.20</w:t>
            </w:r>
          </w:p>
        </w:tc>
        <w:tc>
          <w:tcPr>
            <w:tcW w:type="dxa" w:w="2100"/>
            <w:tcMar>
              <w:top w:type="dxa" w:w="80"/>
              <w:left w:type="dxa" w:w="120"/>
              <w:bottom w:type="dxa" w:w="80"/>
              <w:right w:type="dxa" w:w="120"/>
            </w:tcMar>
            <w:vAlign w:val="center"/>
          </w:tcPr>
          <w:p>
            <w:pPr>
              <w:jc w:val="center"/>
            </w:pPr>
            <w:r>
              <w:rPr>
                <w:b w:val="false"/>
                <w:bCs w:val="false"/>
                <w:color w:val="000000"/>
                <w:sz w:val="20"/>
                <w:szCs w:val="20"/>
              </w:rPr>
              <w:t xml:space="preserve">$365.70</w:t>
            </w:r>
          </w:p>
        </w:tc>
        <w:tc>
          <w:tcPr>
            <w:tcW w:type="dxa" w:w="1600"/>
            <w:tcMar>
              <w:top w:type="dxa" w:w="80"/>
              <w:left w:type="dxa" w:w="120"/>
              <w:bottom w:type="dxa" w:w="80"/>
              <w:right w:type="dxa" w:w="120"/>
            </w:tcMar>
            <w:vAlign w:val="center"/>
          </w:tcPr>
          <w:p>
            <w:pPr>
              <w:jc w:val="center"/>
            </w:pPr>
            <w:r>
              <w:rPr>
                <w:b w:val="false"/>
                <w:bCs w:val="false"/>
                <w:color w:val="000000"/>
                <w:sz w:val="20"/>
                <w:szCs w:val="20"/>
              </w:rPr>
              <w:t xml:space="preserve">37.7%</w:t>
            </w:r>
          </w:p>
        </w:tc>
      </w:tr>
      <w:tr>
        <w:tc>
          <w:tcPr>
            <w:tcW w:type="dxa" w:w="14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Mar</w:t>
            </w:r>
          </w:p>
        </w:tc>
        <w:tc>
          <w:tcPr>
            <w:tcW w:type="dxa" w:w="19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14</w:t>
            </w:r>
          </w:p>
        </w:tc>
        <w:tc>
          <w:tcPr>
            <w:tcW w:type="dxa" w:w="21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$1,875.40</w:t>
            </w:r>
          </w:p>
        </w:tc>
        <w:tc>
          <w:tcPr>
            <w:tcW w:type="dxa" w:w="21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$639.80</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34.1%</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Apr</w:t>
            </w:r>
          </w:p>
        </w:tc>
        <w:tc>
          <w:tcPr>
            <w:tcW w:type="dxa" w:w="1900"/>
            <w:tcMar>
              <w:top w:type="dxa" w:w="80"/>
              <w:left w:type="dxa" w:w="120"/>
              <w:bottom w:type="dxa" w:w="80"/>
              <w:right w:type="dxa" w:w="120"/>
            </w:tcMar>
            <w:vAlign w:val="center"/>
          </w:tcPr>
          <w:p>
            <w:pPr>
              <w:jc w:val="center"/>
            </w:pPr>
            <w:r>
              <w:rPr>
                <w:b w:val="false"/>
                <w:bCs w:val="false"/>
                <w:color w:val="000000"/>
                <w:sz w:val="20"/>
                <w:szCs w:val="20"/>
              </w:rPr>
              <w:t xml:space="preserve">12</w:t>
            </w:r>
          </w:p>
        </w:tc>
        <w:tc>
          <w:tcPr>
            <w:tcW w:type="dxa" w:w="2100"/>
            <w:tcMar>
              <w:top w:type="dxa" w:w="80"/>
              <w:left w:type="dxa" w:w="120"/>
              <w:bottom w:type="dxa" w:w="80"/>
              <w:right w:type="dxa" w:w="120"/>
            </w:tcMar>
            <w:vAlign w:val="center"/>
          </w:tcPr>
          <w:p>
            <w:pPr>
              <w:jc w:val="center"/>
            </w:pPr>
            <w:r>
              <w:rPr>
                <w:b w:val="false"/>
                <w:bCs w:val="false"/>
                <w:color w:val="000000"/>
                <w:sz w:val="20"/>
                <w:szCs w:val="20"/>
              </w:rPr>
              <w:t xml:space="preserve">$510.70</w:t>
            </w:r>
          </w:p>
        </w:tc>
        <w:tc>
          <w:tcPr>
            <w:tcW w:type="dxa" w:w="2100"/>
            <w:tcMar>
              <w:top w:type="dxa" w:w="80"/>
              <w:left w:type="dxa" w:w="120"/>
              <w:bottom w:type="dxa" w:w="80"/>
              <w:right w:type="dxa" w:w="120"/>
            </w:tcMar>
            <w:vAlign w:val="center"/>
          </w:tcPr>
          <w:p>
            <w:pPr>
              <w:jc w:val="center"/>
            </w:pPr>
            <w:r>
              <w:rPr>
                <w:b w:val="false"/>
                <w:bCs w:val="false"/>
                <w:color w:val="000000"/>
                <w:sz w:val="20"/>
                <w:szCs w:val="20"/>
              </w:rPr>
              <w:t xml:space="preserve">$240.90</w:t>
            </w:r>
          </w:p>
        </w:tc>
        <w:tc>
          <w:tcPr>
            <w:tcW w:type="dxa" w:w="1600"/>
            <w:tcMar>
              <w:top w:type="dxa" w:w="80"/>
              <w:left w:type="dxa" w:w="120"/>
              <w:bottom w:type="dxa" w:w="80"/>
              <w:right w:type="dxa" w:w="120"/>
            </w:tcMar>
            <w:vAlign w:val="center"/>
          </w:tcPr>
          <w:p>
            <w:pPr>
              <w:jc w:val="center"/>
            </w:pPr>
            <w:r>
              <w:rPr>
                <w:b w:val="false"/>
                <w:bCs w:val="false"/>
                <w:color w:val="000000"/>
                <w:sz w:val="20"/>
                <w:szCs w:val="20"/>
              </w:rPr>
              <w:t xml:space="preserve">47.2%</w:t>
            </w:r>
          </w:p>
        </w:tc>
      </w:tr>
      <w:tr>
        <w:tc>
          <w:tcPr>
            <w:tcW w:type="dxa" w:w="14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May</w:t>
            </w:r>
          </w:p>
        </w:tc>
        <w:tc>
          <w:tcPr>
            <w:tcW w:type="dxa" w:w="19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18</w:t>
            </w:r>
          </w:p>
        </w:tc>
        <w:tc>
          <w:tcPr>
            <w:tcW w:type="dxa" w:w="21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$347.40</w:t>
            </w:r>
          </w:p>
        </w:tc>
        <w:tc>
          <w:tcPr>
            <w:tcW w:type="dxa" w:w="21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$146.70</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42.2%</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Jun</w:t>
            </w:r>
          </w:p>
        </w:tc>
        <w:tc>
          <w:tcPr>
            <w:tcW w:type="dxa" w:w="1900"/>
            <w:tcMar>
              <w:top w:type="dxa" w:w="80"/>
              <w:left w:type="dxa" w:w="120"/>
              <w:bottom w:type="dxa" w:w="80"/>
              <w:right w:type="dxa" w:w="120"/>
            </w:tcMar>
            <w:vAlign w:val="center"/>
          </w:tcPr>
          <w:p>
            <w:pPr>
              <w:jc w:val="center"/>
            </w:pPr>
            <w:r>
              <w:rPr>
                <w:b w:val="false"/>
                <w:bCs w:val="false"/>
                <w:color w:val="000000"/>
                <w:sz w:val="20"/>
                <w:szCs w:val="20"/>
              </w:rPr>
              <w:t xml:space="preserve">20</w:t>
            </w:r>
          </w:p>
        </w:tc>
        <w:tc>
          <w:tcPr>
            <w:tcW w:type="dxa" w:w="2100"/>
            <w:tcMar>
              <w:top w:type="dxa" w:w="80"/>
              <w:left w:type="dxa" w:w="120"/>
              <w:bottom w:type="dxa" w:w="80"/>
              <w:right w:type="dxa" w:w="120"/>
            </w:tcMar>
            <w:vAlign w:val="center"/>
          </w:tcPr>
          <w:p>
            <w:pPr>
              <w:jc w:val="center"/>
            </w:pPr>
            <w:r>
              <w:rPr>
                <w:b w:val="false"/>
                <w:bCs w:val="false"/>
                <w:color w:val="000000"/>
                <w:sz w:val="20"/>
                <w:szCs w:val="20"/>
              </w:rPr>
              <w:t xml:space="preserve">$409.50</w:t>
            </w:r>
          </w:p>
        </w:tc>
        <w:tc>
          <w:tcPr>
            <w:tcW w:type="dxa" w:w="2100"/>
            <w:tcMar>
              <w:top w:type="dxa" w:w="80"/>
              <w:left w:type="dxa" w:w="120"/>
              <w:bottom w:type="dxa" w:w="80"/>
              <w:right w:type="dxa" w:w="120"/>
            </w:tcMar>
            <w:vAlign w:val="center"/>
          </w:tcPr>
          <w:p>
            <w:pPr>
              <w:jc w:val="center"/>
            </w:pPr>
            <w:r>
              <w:rPr>
                <w:b w:val="false"/>
                <w:bCs w:val="false"/>
                <w:color w:val="000000"/>
                <w:sz w:val="20"/>
                <w:szCs w:val="20"/>
              </w:rPr>
              <w:t xml:space="preserve">$163.60</w:t>
            </w:r>
          </w:p>
        </w:tc>
        <w:tc>
          <w:tcPr>
            <w:tcW w:type="dxa" w:w="1600"/>
            <w:tcMar>
              <w:top w:type="dxa" w:w="80"/>
              <w:left w:type="dxa" w:w="120"/>
              <w:bottom w:type="dxa" w:w="80"/>
              <w:right w:type="dxa" w:w="120"/>
            </w:tcMar>
            <w:vAlign w:val="center"/>
          </w:tcPr>
          <w:p>
            <w:pPr>
              <w:jc w:val="center"/>
            </w:pPr>
            <w:r>
              <w:rPr>
                <w:b w:val="false"/>
                <w:bCs w:val="false"/>
                <w:color w:val="000000"/>
                <w:sz w:val="20"/>
                <w:szCs w:val="20"/>
              </w:rPr>
              <w:t xml:space="preserve">40.0%</w:t>
            </w:r>
          </w:p>
        </w:tc>
      </w:tr>
      <w:tr>
        <w:tc>
          <w:tcPr>
            <w:tcW w:type="dxa" w:w="14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Jul</w:t>
            </w:r>
          </w:p>
        </w:tc>
        <w:tc>
          <w:tcPr>
            <w:tcW w:type="dxa" w:w="19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26</w:t>
            </w:r>
          </w:p>
        </w:tc>
        <w:tc>
          <w:tcPr>
            <w:tcW w:type="dxa" w:w="21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$3,992.30</w:t>
            </w:r>
          </w:p>
        </w:tc>
        <w:tc>
          <w:tcPr>
            <w:tcW w:type="dxa" w:w="21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$1,466.20</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36.7%</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Aug</w:t>
            </w:r>
          </w:p>
        </w:tc>
        <w:tc>
          <w:tcPr>
            <w:tcW w:type="dxa" w:w="1900"/>
            <w:tcMar>
              <w:top w:type="dxa" w:w="80"/>
              <w:left w:type="dxa" w:w="120"/>
              <w:bottom w:type="dxa" w:w="80"/>
              <w:right w:type="dxa" w:w="120"/>
            </w:tcMar>
            <w:vAlign w:val="center"/>
          </w:tcPr>
          <w:p>
            <w:pPr>
              <w:jc w:val="center"/>
            </w:pPr>
            <w:r>
              <w:rPr>
                <w:b w:val="false"/>
                <w:bCs w:val="false"/>
                <w:color w:val="000000"/>
                <w:sz w:val="20"/>
                <w:szCs w:val="20"/>
              </w:rPr>
              <w:t xml:space="preserve">17</w:t>
            </w:r>
          </w:p>
        </w:tc>
        <w:tc>
          <w:tcPr>
            <w:tcW w:type="dxa" w:w="2100"/>
            <w:tcMar>
              <w:top w:type="dxa" w:w="80"/>
              <w:left w:type="dxa" w:w="120"/>
              <w:bottom w:type="dxa" w:w="80"/>
              <w:right w:type="dxa" w:w="120"/>
            </w:tcMar>
            <w:vAlign w:val="center"/>
          </w:tcPr>
          <w:p>
            <w:pPr>
              <w:jc w:val="center"/>
            </w:pPr>
            <w:r>
              <w:rPr>
                <w:b w:val="false"/>
                <w:bCs w:val="false"/>
                <w:color w:val="000000"/>
                <w:sz w:val="20"/>
                <w:szCs w:val="20"/>
              </w:rPr>
              <w:t xml:space="preserve">$2,513.60</w:t>
            </w:r>
          </w:p>
        </w:tc>
        <w:tc>
          <w:tcPr>
            <w:tcW w:type="dxa" w:w="2100"/>
            <w:tcMar>
              <w:top w:type="dxa" w:w="80"/>
              <w:left w:type="dxa" w:w="120"/>
              <w:bottom w:type="dxa" w:w="80"/>
              <w:right w:type="dxa" w:w="120"/>
            </w:tcMar>
            <w:vAlign w:val="center"/>
          </w:tcPr>
          <w:p>
            <w:pPr>
              <w:jc w:val="center"/>
            </w:pPr>
            <w:r>
              <w:rPr>
                <w:b w:val="false"/>
                <w:bCs w:val="false"/>
                <w:color w:val="000000"/>
                <w:sz w:val="20"/>
                <w:szCs w:val="20"/>
              </w:rPr>
              <w:t xml:space="preserve">$935.40</w:t>
            </w:r>
          </w:p>
        </w:tc>
        <w:tc>
          <w:tcPr>
            <w:tcW w:type="dxa" w:w="1600"/>
            <w:tcMar>
              <w:top w:type="dxa" w:w="80"/>
              <w:left w:type="dxa" w:w="120"/>
              <w:bottom w:type="dxa" w:w="80"/>
              <w:right w:type="dxa" w:w="120"/>
            </w:tcMar>
            <w:vAlign w:val="center"/>
          </w:tcPr>
          <w:p>
            <w:pPr>
              <w:jc w:val="center"/>
            </w:pPr>
            <w:r>
              <w:rPr>
                <w:b w:val="false"/>
                <w:bCs w:val="false"/>
                <w:color w:val="000000"/>
                <w:sz w:val="20"/>
                <w:szCs w:val="20"/>
              </w:rPr>
              <w:t xml:space="preserve">37.2%</w:t>
            </w:r>
          </w:p>
        </w:tc>
      </w:tr>
      <w:tr>
        <w:tc>
          <w:tcPr>
            <w:tcW w:type="dxa" w:w="14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Sep</w:t>
            </w:r>
          </w:p>
        </w:tc>
        <w:tc>
          <w:tcPr>
            <w:tcW w:type="dxa" w:w="19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8</w:t>
            </w:r>
          </w:p>
        </w:tc>
        <w:tc>
          <w:tcPr>
            <w:tcW w:type="dxa" w:w="21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$1,542.80</w:t>
            </w:r>
          </w:p>
        </w:tc>
        <w:tc>
          <w:tcPr>
            <w:tcW w:type="dxa" w:w="21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$569.20</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36.9%</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Oct</w:t>
            </w:r>
          </w:p>
        </w:tc>
        <w:tc>
          <w:tcPr>
            <w:tcW w:type="dxa" w:w="1900"/>
            <w:tcMar>
              <w:top w:type="dxa" w:w="80"/>
              <w:left w:type="dxa" w:w="120"/>
              <w:bottom w:type="dxa" w:w="80"/>
              <w:right w:type="dxa" w:w="120"/>
            </w:tcMar>
            <w:vAlign w:val="center"/>
          </w:tcPr>
          <w:p>
            <w:pPr>
              <w:jc w:val="center"/>
            </w:pPr>
            <w:r>
              <w:rPr>
                <w:b w:val="false"/>
                <w:bCs w:val="false"/>
                <w:color w:val="000000"/>
                <w:sz w:val="20"/>
                <w:szCs w:val="20"/>
              </w:rPr>
              <w:t xml:space="preserve">8</w:t>
            </w:r>
          </w:p>
        </w:tc>
        <w:tc>
          <w:tcPr>
            <w:tcW w:type="dxa" w:w="2100"/>
            <w:tcMar>
              <w:top w:type="dxa" w:w="80"/>
              <w:left w:type="dxa" w:w="120"/>
              <w:bottom w:type="dxa" w:w="80"/>
              <w:right w:type="dxa" w:w="120"/>
            </w:tcMar>
            <w:vAlign w:val="center"/>
          </w:tcPr>
          <w:p>
            <w:pPr>
              <w:jc w:val="center"/>
            </w:pPr>
            <w:r>
              <w:rPr>
                <w:b w:val="false"/>
                <w:bCs w:val="false"/>
                <w:color w:val="000000"/>
                <w:sz w:val="20"/>
                <w:szCs w:val="20"/>
              </w:rPr>
              <w:t xml:space="preserve">$1,153.40</w:t>
            </w:r>
          </w:p>
        </w:tc>
        <w:tc>
          <w:tcPr>
            <w:tcW w:type="dxa" w:w="2100"/>
            <w:tcMar>
              <w:top w:type="dxa" w:w="80"/>
              <w:left w:type="dxa" w:w="120"/>
              <w:bottom w:type="dxa" w:w="80"/>
              <w:right w:type="dxa" w:w="120"/>
            </w:tcMar>
            <w:vAlign w:val="center"/>
          </w:tcPr>
          <w:p>
            <w:pPr>
              <w:jc w:val="center"/>
            </w:pPr>
            <w:r>
              <w:rPr>
                <w:b w:val="false"/>
                <w:bCs w:val="false"/>
                <w:color w:val="000000"/>
                <w:sz w:val="20"/>
                <w:szCs w:val="20"/>
              </w:rPr>
              <w:t xml:space="preserve">$477.10</w:t>
            </w:r>
          </w:p>
        </w:tc>
        <w:tc>
          <w:tcPr>
            <w:tcW w:type="dxa" w:w="1600"/>
            <w:tcMar>
              <w:top w:type="dxa" w:w="80"/>
              <w:left w:type="dxa" w:w="120"/>
              <w:bottom w:type="dxa" w:w="80"/>
              <w:right w:type="dxa" w:w="120"/>
            </w:tcMar>
            <w:vAlign w:val="center"/>
          </w:tcPr>
          <w:p>
            <w:pPr>
              <w:jc w:val="center"/>
            </w:pPr>
            <w:r>
              <w:rPr>
                <w:b w:val="false"/>
                <w:bCs w:val="false"/>
                <w:color w:val="000000"/>
                <w:sz w:val="20"/>
                <w:szCs w:val="20"/>
              </w:rPr>
              <w:t xml:space="preserve">41.4%</w:t>
            </w:r>
          </w:p>
        </w:tc>
      </w:tr>
      <w:tr>
        <w:tc>
          <w:tcPr>
            <w:tcW w:type="dxa" w:w="14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Nov</w:t>
            </w:r>
          </w:p>
        </w:tc>
        <w:tc>
          <w:tcPr>
            <w:tcW w:type="dxa" w:w="19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9</w:t>
            </w:r>
          </w:p>
        </w:tc>
        <w:tc>
          <w:tcPr>
            <w:tcW w:type="dxa" w:w="21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$1,477.20</w:t>
            </w:r>
          </w:p>
        </w:tc>
        <w:tc>
          <w:tcPr>
            <w:tcW w:type="dxa" w:w="21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$519.30</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35.2%</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Dec</w:t>
            </w:r>
          </w:p>
        </w:tc>
        <w:tc>
          <w:tcPr>
            <w:tcW w:type="dxa" w:w="1900"/>
            <w:tcMar>
              <w:top w:type="dxa" w:w="80"/>
              <w:left w:type="dxa" w:w="120"/>
              <w:bottom w:type="dxa" w:w="80"/>
              <w:right w:type="dxa" w:w="120"/>
            </w:tcMar>
            <w:vAlign w:val="center"/>
          </w:tcPr>
          <w:p>
            <w:pPr>
              <w:jc w:val="center"/>
            </w:pPr>
            <w:r>
              <w:rPr>
                <w:b w:val="false"/>
                <w:bCs w:val="false"/>
                <w:color w:val="000000"/>
                <w:sz w:val="20"/>
                <w:szCs w:val="20"/>
              </w:rPr>
              <w:t xml:space="preserve">5</w:t>
            </w:r>
          </w:p>
        </w:tc>
        <w:tc>
          <w:tcPr>
            <w:tcW w:type="dxa" w:w="2100"/>
            <w:tcMar>
              <w:top w:type="dxa" w:w="80"/>
              <w:left w:type="dxa" w:w="120"/>
              <w:bottom w:type="dxa" w:w="80"/>
              <w:right w:type="dxa" w:w="120"/>
            </w:tcMar>
            <w:vAlign w:val="center"/>
          </w:tcPr>
          <w:p>
            <w:pPr>
              <w:jc w:val="center"/>
            </w:pPr>
            <w:r>
              <w:rPr>
                <w:b w:val="false"/>
                <w:bCs w:val="false"/>
                <w:color w:val="000000"/>
                <w:sz w:val="20"/>
                <w:szCs w:val="20"/>
              </w:rPr>
              <w:t xml:space="preserve">$898.40</w:t>
            </w:r>
          </w:p>
        </w:tc>
        <w:tc>
          <w:tcPr>
            <w:tcW w:type="dxa" w:w="2100"/>
            <w:tcMar>
              <w:top w:type="dxa" w:w="80"/>
              <w:left w:type="dxa" w:w="120"/>
              <w:bottom w:type="dxa" w:w="80"/>
              <w:right w:type="dxa" w:w="120"/>
            </w:tcMar>
            <w:vAlign w:val="center"/>
          </w:tcPr>
          <w:p>
            <w:pPr>
              <w:jc w:val="center"/>
            </w:pPr>
            <w:r>
              <w:rPr>
                <w:b w:val="false"/>
                <w:bCs w:val="false"/>
                <w:color w:val="000000"/>
                <w:sz w:val="20"/>
                <w:szCs w:val="20"/>
              </w:rPr>
              <w:t xml:space="preserve">$346.10</w:t>
            </w:r>
          </w:p>
        </w:tc>
        <w:tc>
          <w:tcPr>
            <w:tcW w:type="dxa" w:w="1600"/>
            <w:tcMar>
              <w:top w:type="dxa" w:w="80"/>
              <w:left w:type="dxa" w:w="120"/>
              <w:bottom w:type="dxa" w:w="80"/>
              <w:right w:type="dxa" w:w="120"/>
            </w:tcMar>
            <w:vAlign w:val="center"/>
          </w:tcPr>
          <w:p>
            <w:pPr>
              <w:jc w:val="center"/>
            </w:pPr>
            <w:r>
              <w:rPr>
                <w:b w:val="false"/>
                <w:bCs w:val="false"/>
                <w:color w:val="000000"/>
                <w:sz w:val="20"/>
                <w:szCs w:val="20"/>
              </w:rPr>
              <w:t xml:space="preserve">38.5%</w:t>
            </w:r>
          </w:p>
        </w:tc>
      </w:tr>
    </w:tbl>
    <w:p>
      <w:pPr>
        <w:spacing w:before="200"/>
      </w:pPr>
    </w:p>
    <w:p>
      <w:pPr>
        <w:spacing w:after="160" w:line="276"/>
      </w:pPr>
      <w:r>
        <w:rPr>
          <w:sz w:val="22"/>
          <w:szCs w:val="22"/>
        </w:rPr>
        <w:t xml:space="preserve">Revenue is strongly seasonal, peaking in July ($3,992.30) and staying elevated through August and September before tapering into the winter months. April, May, and June form a clear trough, with May the slowest month of the year at only $347.40 in revenue. Profit margin holds fairly steady in the 34–47% range all year, meaning the seasonal swing is driven by transaction volume and product mix rather than by discounting.</w:t>
      </w:r>
    </w:p>
    <w:p>
      <w:pPr>
        <w:pStyle w:val="Heading2"/>
        <w:spacing w:after="120" w:before="240"/>
      </w:pPr>
      <w:r>
        <w:t xml:space="preserve">3.2 Product Performance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000"/>
        <w:gridCol w:w="2000"/>
        <w:gridCol w:w="1500"/>
      </w:tblGrid>
      <w:tr>
        <w:trPr>
          <w:tblHeader/>
        </w:trPr>
        <w:tc>
          <w:tcPr>
            <w:tcW w:type="dxa" w:w="2600"/>
            <w:shd w:fill="1F4E78" w:color="auto" w:val="clear"/>
            <w:tcMar>
              <w:top w:type="dxa" w:w="80"/>
              <w:left w:type="dxa" w:w="120"/>
              <w:bottom w:type="dxa" w:w="80"/>
              <w:right w:type="dxa" w:w="120"/>
            </w:tcMar>
            <w:vAlign w:val="center"/>
          </w:tcPr>
          <w:p>
            <w:pPr>
              <w:jc w:val="center"/>
            </w:pPr>
            <w:r>
              <w:rPr>
                <w:b/>
                <w:bCs/>
                <w:color w:val="FFFFFF"/>
                <w:sz w:val="20"/>
                <w:szCs w:val="20"/>
              </w:rPr>
              <w:t xml:space="preserve">Product</w:t>
            </w:r>
          </w:p>
        </w:tc>
        <w:tc>
          <w:tcPr>
            <w:tcW w:type="dxa" w:w="1500"/>
            <w:shd w:fill="1F4E78" w:color="auto" w:val="clear"/>
            <w:tcMar>
              <w:top w:type="dxa" w:w="80"/>
              <w:left w:type="dxa" w:w="120"/>
              <w:bottom w:type="dxa" w:w="80"/>
              <w:right w:type="dxa" w:w="120"/>
            </w:tcMar>
            <w:vAlign w:val="center"/>
          </w:tcPr>
          <w:p>
            <w:pPr>
              <w:jc w:val="center"/>
            </w:pPr>
            <w:r>
              <w:rPr>
                <w:b/>
                <w:bCs/>
                <w:color w:val="FFFFFF"/>
                <w:sz w:val="20"/>
                <w:szCs w:val="20"/>
              </w:rPr>
              <w:t xml:space="preserve">Units Sold</w:t>
            </w:r>
          </w:p>
        </w:tc>
        <w:tc>
          <w:tcPr>
            <w:tcW w:type="dxa" w:w="2000"/>
            <w:shd w:fill="1F4E78" w:color="auto" w:val="clear"/>
            <w:tcMar>
              <w:top w:type="dxa" w:w="80"/>
              <w:left w:type="dxa" w:w="120"/>
              <w:bottom w:type="dxa" w:w="80"/>
              <w:right w:type="dxa" w:w="120"/>
            </w:tcMar>
            <w:vAlign w:val="center"/>
          </w:tcPr>
          <w:p>
            <w:pPr>
              <w:jc w:val="center"/>
            </w:pPr>
            <w:r>
              <w:rPr>
                <w:b/>
                <w:bCs/>
                <w:color w:val="FFFFFF"/>
                <w:sz w:val="20"/>
                <w:szCs w:val="20"/>
              </w:rPr>
              <w:t xml:space="preserve">Revenue</w:t>
            </w:r>
          </w:p>
        </w:tc>
        <w:tc>
          <w:tcPr>
            <w:tcW w:type="dxa" w:w="2000"/>
            <w:shd w:fill="1F4E78" w:color="auto" w:val="clear"/>
            <w:tcMar>
              <w:top w:type="dxa" w:w="80"/>
              <w:left w:type="dxa" w:w="120"/>
              <w:bottom w:type="dxa" w:w="80"/>
              <w:right w:type="dxa" w:w="120"/>
            </w:tcMar>
            <w:vAlign w:val="center"/>
          </w:tcPr>
          <w:p>
            <w:pPr>
              <w:jc w:val="center"/>
            </w:pPr>
            <w:r>
              <w:rPr>
                <w:b/>
                <w:bCs/>
                <w:color w:val="FFFFFF"/>
                <w:sz w:val="20"/>
                <w:szCs w:val="20"/>
              </w:rPr>
              <w:t xml:space="preserve">Profit</w:t>
            </w:r>
          </w:p>
        </w:tc>
        <w:tc>
          <w:tcPr>
            <w:tcW w:type="dxa" w:w="1500"/>
            <w:shd w:fill="1F4E78" w:color="auto" w:val="clear"/>
            <w:tcMar>
              <w:top w:type="dxa" w:w="80"/>
              <w:left w:type="dxa" w:w="120"/>
              <w:bottom w:type="dxa" w:w="80"/>
              <w:right w:type="dxa" w:w="120"/>
            </w:tcMar>
            <w:vAlign w:val="center"/>
          </w:tcPr>
          <w:p>
            <w:pPr>
              <w:jc w:val="center"/>
            </w:pPr>
            <w:r>
              <w:rPr>
                <w:b/>
                <w:bCs/>
                <w:color w:val="FFFFFF"/>
                <w:sz w:val="20"/>
                <w:szCs w:val="20"/>
              </w:rPr>
              <w:t xml:space="preserve">Margin</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Water Pump</w:t>
            </w:r>
          </w:p>
        </w:tc>
        <w:tc>
          <w:tcPr>
            <w:tcW w:type="dxa" w:w="15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20</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$10,040.00</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$3,160.00</w:t>
            </w:r>
          </w:p>
        </w:tc>
        <w:tc>
          <w:tcPr>
            <w:tcW w:type="dxa" w:w="15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58.7%</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Pool Cover</w:t>
            </w:r>
          </w:p>
        </w:tc>
        <w:tc>
          <w:tcPr>
            <w:tcW w:type="dxa" w:w="1500"/>
            <w:tcMar>
              <w:top w:type="dxa" w:w="80"/>
              <w:left w:type="dxa" w:w="120"/>
              <w:bottom w:type="dxa" w:w="80"/>
              <w:right w:type="dxa" w:w="120"/>
            </w:tcMar>
            <w:vAlign w:val="center"/>
          </w:tcPr>
          <w:p>
            <w:pPr>
              <w:jc w:val="center"/>
            </w:pPr>
            <w:r>
              <w:rPr>
                <w:b w:val="false"/>
                <w:bCs w:val="false"/>
                <w:color w:val="000000"/>
                <w:sz w:val="20"/>
                <w:szCs w:val="20"/>
              </w:rPr>
              <w:t xml:space="preserve">21</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$2,066.40</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$842.10</w:t>
            </w:r>
          </w:p>
        </w:tc>
        <w:tc>
          <w:tcPr>
            <w:tcW w:type="dxa" w:w="1500"/>
            <w:tcMar>
              <w:top w:type="dxa" w:w="80"/>
              <w:left w:type="dxa" w:w="120"/>
              <w:bottom w:type="dxa" w:w="80"/>
              <w:right w:type="dxa" w:w="120"/>
            </w:tcMar>
            <w:vAlign w:val="center"/>
          </w:tcPr>
          <w:p>
            <w:pPr>
              <w:jc w:val="center"/>
            </w:pPr>
            <w:r>
              <w:rPr>
                <w:b w:val="false"/>
                <w:bCs w:val="false"/>
                <w:color w:val="000000"/>
                <w:sz w:val="20"/>
                <w:szCs w:val="20"/>
              </w:rPr>
              <w:t xml:space="preserve">12.1%</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AutoVac</w:t>
            </w:r>
          </w:p>
        </w:tc>
        <w:tc>
          <w:tcPr>
            <w:tcW w:type="dxa" w:w="15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16</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$1,984.00</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$1,024.00</w:t>
            </w:r>
          </w:p>
        </w:tc>
        <w:tc>
          <w:tcPr>
            <w:tcW w:type="dxa" w:w="15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11.6%</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Skimmer</w:t>
            </w:r>
          </w:p>
        </w:tc>
        <w:tc>
          <w:tcPr>
            <w:tcW w:type="dxa" w:w="1500"/>
            <w:tcMar>
              <w:top w:type="dxa" w:w="80"/>
              <w:left w:type="dxa" w:w="120"/>
              <w:bottom w:type="dxa" w:w="80"/>
              <w:right w:type="dxa" w:w="120"/>
            </w:tcMar>
            <w:vAlign w:val="center"/>
          </w:tcPr>
          <w:p>
            <w:pPr>
              <w:jc w:val="center"/>
            </w:pPr>
            <w:r>
              <w:rPr>
                <w:b w:val="false"/>
                <w:bCs w:val="false"/>
                <w:color w:val="000000"/>
                <w:sz w:val="20"/>
                <w:szCs w:val="20"/>
              </w:rPr>
              <w:t xml:space="preserve">15</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$1,305.00</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$630.00</w:t>
            </w:r>
          </w:p>
        </w:tc>
        <w:tc>
          <w:tcPr>
            <w:tcW w:type="dxa" w:w="1500"/>
            <w:tcMar>
              <w:top w:type="dxa" w:w="80"/>
              <w:left w:type="dxa" w:w="120"/>
              <w:bottom w:type="dxa" w:w="80"/>
              <w:right w:type="dxa" w:w="120"/>
            </w:tcMar>
            <w:vAlign w:val="center"/>
          </w:tcPr>
          <w:p>
            <w:pPr>
              <w:jc w:val="center"/>
            </w:pPr>
            <w:r>
              <w:rPr>
                <w:b w:val="false"/>
                <w:bCs w:val="false"/>
                <w:color w:val="000000"/>
                <w:sz w:val="20"/>
                <w:szCs w:val="20"/>
              </w:rPr>
              <w:t xml:space="preserve">7.6%</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5 Gal Chlorine</w:t>
            </w:r>
          </w:p>
        </w:tc>
        <w:tc>
          <w:tcPr>
            <w:tcW w:type="dxa" w:w="15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9</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$693.00</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$315.00</w:t>
            </w:r>
          </w:p>
        </w:tc>
        <w:tc>
          <w:tcPr>
            <w:tcW w:type="dxa" w:w="15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4.0%</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Net</w:t>
            </w:r>
          </w:p>
        </w:tc>
        <w:tc>
          <w:tcPr>
            <w:tcW w:type="dxa" w:w="1500"/>
            <w:tcMar>
              <w:top w:type="dxa" w:w="80"/>
              <w:left w:type="dxa" w:w="120"/>
              <w:bottom w:type="dxa" w:w="80"/>
              <w:right w:type="dxa" w:w="120"/>
            </w:tcMar>
            <w:vAlign w:val="center"/>
          </w:tcPr>
          <w:p>
            <w:pPr>
              <w:jc w:val="center"/>
            </w:pPr>
            <w:r>
              <w:rPr>
                <w:b w:val="false"/>
                <w:bCs w:val="false"/>
                <w:color w:val="000000"/>
                <w:sz w:val="20"/>
                <w:szCs w:val="20"/>
              </w:rPr>
              <w:t xml:space="preserve">24</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$391.20</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$117.60</w:t>
            </w:r>
          </w:p>
        </w:tc>
        <w:tc>
          <w:tcPr>
            <w:tcW w:type="dxa" w:w="1500"/>
            <w:tcMar>
              <w:top w:type="dxa" w:w="80"/>
              <w:left w:type="dxa" w:w="120"/>
              <w:bottom w:type="dxa" w:w="80"/>
              <w:right w:type="dxa" w:w="120"/>
            </w:tcMar>
            <w:vAlign w:val="center"/>
          </w:tcPr>
          <w:p>
            <w:pPr>
              <w:jc w:val="center"/>
            </w:pPr>
            <w:r>
              <w:rPr>
                <w:b w:val="false"/>
                <w:bCs w:val="false"/>
                <w:color w:val="000000"/>
                <w:sz w:val="20"/>
                <w:szCs w:val="20"/>
              </w:rPr>
              <w:t xml:space="preserve">2.3%</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Algae Killer 8 oz</w:t>
            </w:r>
          </w:p>
        </w:tc>
        <w:tc>
          <w:tcPr>
            <w:tcW w:type="dxa" w:w="15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15</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$210.00</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$75.00</w:t>
            </w:r>
          </w:p>
        </w:tc>
        <w:tc>
          <w:tcPr>
            <w:tcW w:type="dxa" w:w="15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1.2%</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8 ft Hose</w:t>
            </w:r>
          </w:p>
        </w:tc>
        <w:tc>
          <w:tcPr>
            <w:tcW w:type="dxa" w:w="1500"/>
            <w:tcMar>
              <w:top w:type="dxa" w:w="80"/>
              <w:left w:type="dxa" w:w="120"/>
              <w:bottom w:type="dxa" w:w="80"/>
              <w:right w:type="dxa" w:w="120"/>
            </w:tcMar>
            <w:vAlign w:val="center"/>
          </w:tcPr>
          <w:p>
            <w:pPr>
              <w:jc w:val="center"/>
            </w:pPr>
            <w:r>
              <w:rPr>
                <w:b w:val="false"/>
                <w:bCs w:val="false"/>
                <w:color w:val="000000"/>
                <w:sz w:val="20"/>
                <w:szCs w:val="20"/>
              </w:rPr>
              <w:t xml:space="preserve">20</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$184.00</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500"/>
            <w:tcMar>
              <w:top w:type="dxa" w:w="80"/>
              <w:left w:type="dxa" w:w="120"/>
              <w:bottom w:type="dxa" w:w="80"/>
              <w:right w:type="dxa" w:w="120"/>
            </w:tcMar>
            <w:vAlign w:val="center"/>
          </w:tcPr>
          <w:p>
            <w:pPr>
              <w:jc w:val="center"/>
            </w:pPr>
            <w:r>
              <w:rPr>
                <w:b w:val="false"/>
                <w:bCs w:val="false"/>
                <w:color w:val="000000"/>
                <w:sz w:val="20"/>
                <w:szCs w:val="20"/>
              </w:rPr>
              <w:t xml:space="preserve">1.1%</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Chlorine Test Kit</w:t>
            </w:r>
          </w:p>
        </w:tc>
        <w:tc>
          <w:tcPr>
            <w:tcW w:type="dxa" w:w="15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20</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$160.00</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5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0.9%</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1 Gal Muratic Acid</w:t>
            </w:r>
          </w:p>
        </w:tc>
        <w:tc>
          <w:tcPr>
            <w:tcW w:type="dxa" w:w="1500"/>
            <w:tcMar>
              <w:top w:type="dxa" w:w="80"/>
              <w:left w:type="dxa" w:w="120"/>
              <w:bottom w:type="dxa" w:w="80"/>
              <w:right w:type="dxa" w:w="120"/>
            </w:tcMar>
            <w:vAlign w:val="center"/>
          </w:tcPr>
          <w:p>
            <w:pPr>
              <w:jc w:val="center"/>
            </w:pPr>
            <w:r>
              <w:rPr>
                <w:b w:val="false"/>
                <w:bCs w:val="false"/>
                <w:color w:val="000000"/>
                <w:sz w:val="20"/>
                <w:szCs w:val="20"/>
              </w:rPr>
              <w:t xml:space="preserve">11</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$77.00</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$33.00</w:t>
            </w:r>
          </w:p>
        </w:tc>
        <w:tc>
          <w:tcPr>
            <w:tcW w:type="dxa" w:w="1500"/>
            <w:tcMar>
              <w:top w:type="dxa" w:w="80"/>
              <w:left w:type="dxa" w:w="120"/>
              <w:bottom w:type="dxa" w:w="80"/>
              <w:right w:type="dxa" w:w="120"/>
            </w:tcMar>
            <w:vAlign w:val="center"/>
          </w:tcPr>
          <w:p>
            <w:pPr>
              <w:jc w:val="center"/>
            </w:pPr>
            <w:r>
              <w:rPr>
                <w:b w:val="false"/>
                <w:bCs w:val="false"/>
                <w:color w:val="000000"/>
                <w:sz w:val="20"/>
                <w:szCs w:val="20"/>
              </w:rPr>
              <w:t xml:space="preserve">0.4%</w:t>
            </w:r>
          </w:p>
        </w:tc>
      </w:tr>
    </w:tbl>
    <w:p>
      <w:pPr>
        <w:spacing w:before="200"/>
      </w:pPr>
    </w:p>
    <w:p>
      <w:pPr>
        <w:spacing w:after="160" w:line="276"/>
      </w:pPr>
      <w:r>
        <w:rPr>
          <w:sz w:val="22"/>
          <w:szCs w:val="22"/>
        </w:rPr>
        <w:t xml:space="preserve">Water Pumps are the dominant revenue driver: only 20 units sold (12% of total units) but $10,040 in revenue — 59% of the year's total — thanks to a high unit price ($502). Pool Cover, AutoVac, and Skimmer round out the next tier of contributors. High-frequency, low-ticket items (Net, 8 ft Hose, Chlorine Test Kit) sell in large volumes but contribute comparatively little revenue, though Chlorine Test Kit stands out for its unusually strong 62.5% margin.</w:t>
      </w:r>
    </w:p>
    <w:p>
      <w:pPr>
        <w:pStyle w:val="Heading2"/>
        <w:spacing w:after="120" w:before="240"/>
      </w:pPr>
      <w:r>
        <w:t xml:space="preserve">3.3 Sales Team Performance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2000"/>
        <w:gridCol w:w="1800"/>
      </w:tblGrid>
      <w:tr>
        <w:trPr>
          <w:tblHeader/>
        </w:trPr>
        <w:tc>
          <w:tcPr>
            <w:tcW w:type="dxa" w:w="2400"/>
            <w:shd w:fill="1F4E78" w:color="auto" w:val="clear"/>
            <w:tcMar>
              <w:top w:type="dxa" w:w="80"/>
              <w:left w:type="dxa" w:w="120"/>
              <w:bottom w:type="dxa" w:w="80"/>
              <w:right w:type="dxa" w:w="120"/>
            </w:tcMar>
            <w:vAlign w:val="center"/>
          </w:tcPr>
          <w:p>
            <w:pPr>
              <w:jc w:val="center"/>
            </w:pPr>
            <w:r>
              <w:rPr>
                <w:b/>
                <w:bCs/>
                <w:color w:val="FFFFFF"/>
                <w:sz w:val="20"/>
                <w:szCs w:val="20"/>
              </w:rPr>
              <w:t xml:space="preserve">Sales Person</w:t>
            </w:r>
          </w:p>
        </w:tc>
        <w:tc>
          <w:tcPr>
            <w:tcW w:type="dxa" w:w="1800"/>
            <w:shd w:fill="1F4E78" w:color="auto" w:val="clear"/>
            <w:tcMar>
              <w:top w:type="dxa" w:w="80"/>
              <w:left w:type="dxa" w:w="120"/>
              <w:bottom w:type="dxa" w:w="80"/>
              <w:right w:type="dxa" w:w="120"/>
            </w:tcMar>
            <w:vAlign w:val="center"/>
          </w:tcPr>
          <w:p>
            <w:pPr>
              <w:jc w:val="center"/>
            </w:pPr>
            <w:r>
              <w:rPr>
                <w:b/>
                <w:bCs/>
                <w:color w:val="FFFFFF"/>
                <w:sz w:val="20"/>
                <w:szCs w:val="20"/>
              </w:rPr>
              <w:t xml:space="preserve">Transactions</w:t>
            </w:r>
          </w:p>
        </w:tc>
        <w:tc>
          <w:tcPr>
            <w:tcW w:type="dxa" w:w="2000"/>
            <w:shd w:fill="1F4E78" w:color="auto" w:val="clear"/>
            <w:tcMar>
              <w:top w:type="dxa" w:w="80"/>
              <w:left w:type="dxa" w:w="120"/>
              <w:bottom w:type="dxa" w:w="80"/>
              <w:right w:type="dxa" w:w="120"/>
            </w:tcMar>
            <w:vAlign w:val="center"/>
          </w:tcPr>
          <w:p>
            <w:pPr>
              <w:jc w:val="center"/>
            </w:pPr>
            <w:r>
              <w:rPr>
                <w:b/>
                <w:bCs/>
                <w:color w:val="FFFFFF"/>
                <w:sz w:val="20"/>
                <w:szCs w:val="20"/>
              </w:rPr>
              <w:t xml:space="preserve">Revenue</w:t>
            </w:r>
          </w:p>
        </w:tc>
        <w:tc>
          <w:tcPr>
            <w:tcW w:type="dxa" w:w="2000"/>
            <w:shd w:fill="1F4E78" w:color="auto" w:val="clear"/>
            <w:tcMar>
              <w:top w:type="dxa" w:w="80"/>
              <w:left w:type="dxa" w:w="120"/>
              <w:bottom w:type="dxa" w:w="80"/>
              <w:right w:type="dxa" w:w="120"/>
            </w:tcMar>
            <w:vAlign w:val="center"/>
          </w:tcPr>
          <w:p>
            <w:pPr>
              <w:jc w:val="center"/>
            </w:pPr>
            <w:r>
              <w:rPr>
                <w:b/>
                <w:bCs/>
                <w:color w:val="FFFFFF"/>
                <w:sz w:val="20"/>
                <w:szCs w:val="20"/>
              </w:rPr>
              <w:t xml:space="preserve">Profit</w:t>
            </w:r>
          </w:p>
        </w:tc>
        <w:tc>
          <w:tcPr>
            <w:tcW w:type="dxa" w:w="1800"/>
            <w:shd w:fill="1F4E78" w:color="auto" w:val="clear"/>
            <w:tcMar>
              <w:top w:type="dxa" w:w="80"/>
              <w:left w:type="dxa" w:w="120"/>
              <w:bottom w:type="dxa" w:w="80"/>
              <w:right w:type="dxa" w:w="120"/>
            </w:tcMar>
            <w:vAlign w:val="center"/>
          </w:tcPr>
          <w:p>
            <w:pPr>
              <w:jc w:val="center"/>
            </w:pPr>
            <w:r>
              <w:rPr>
                <w:b/>
                <w:bCs/>
                <w:color w:val="FFFFFF"/>
                <w:sz w:val="20"/>
                <w:szCs w:val="20"/>
              </w:rPr>
              <w:t xml:space="preserve">Commission (10%)</w:t>
            </w:r>
          </w:p>
        </w:tc>
      </w:tr>
      <w:tr>
        <w:tc>
          <w:tcPr>
            <w:tcW w:type="dxa" w:w="24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Charlie Barns</w:t>
            </w:r>
          </w:p>
        </w:tc>
        <w:tc>
          <w:tcPr>
            <w:tcW w:type="dxa" w:w="18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33</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$6,003.50</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$2,015.10</w:t>
            </w:r>
          </w:p>
        </w:tc>
        <w:tc>
          <w:tcPr>
            <w:tcW w:type="dxa" w:w="18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$181.92</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Doug Smith</w:t>
            </w:r>
          </w:p>
        </w:tc>
        <w:tc>
          <w:tcPr>
            <w:tcW w:type="dxa" w:w="1800"/>
            <w:tcMar>
              <w:top w:type="dxa" w:w="80"/>
              <w:left w:type="dxa" w:w="120"/>
              <w:bottom w:type="dxa" w:w="80"/>
              <w:right w:type="dxa" w:w="120"/>
            </w:tcMar>
            <w:vAlign w:val="center"/>
          </w:tcPr>
          <w:p>
            <w:pPr>
              <w:jc w:val="center"/>
            </w:pPr>
            <w:r>
              <w:rPr>
                <w:b w:val="false"/>
                <w:bCs w:val="false"/>
                <w:color w:val="000000"/>
                <w:sz w:val="20"/>
                <w:szCs w:val="20"/>
              </w:rPr>
              <w:t xml:space="preserve">66</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$5,661.10</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$2,235.90</w:t>
            </w:r>
          </w:p>
        </w:tc>
        <w:tc>
          <w:tcPr>
            <w:tcW w:type="dxa" w:w="1800"/>
            <w:tcMar>
              <w:top w:type="dxa" w:w="80"/>
              <w:left w:type="dxa" w:w="120"/>
              <w:bottom w:type="dxa" w:w="80"/>
              <w:right w:type="dxa" w:w="120"/>
            </w:tcMar>
            <w:vAlign w:val="center"/>
          </w:tcPr>
          <w:p>
            <w:pPr>
              <w:jc w:val="center"/>
            </w:pPr>
            <w:r>
              <w:rPr>
                <w:b w:val="false"/>
                <w:bCs w:val="false"/>
                <w:color w:val="000000"/>
                <w:sz w:val="20"/>
                <w:szCs w:val="20"/>
              </w:rPr>
              <w:t xml:space="preserve">$85.77</w:t>
            </w:r>
          </w:p>
        </w:tc>
      </w:tr>
      <w:tr>
        <w:tc>
          <w:tcPr>
            <w:tcW w:type="dxa" w:w="24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Helen Johnson</w:t>
            </w:r>
          </w:p>
        </w:tc>
        <w:tc>
          <w:tcPr>
            <w:tcW w:type="dxa" w:w="18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31</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$3,035.30</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$1,084.10</w:t>
            </w:r>
          </w:p>
        </w:tc>
        <w:tc>
          <w:tcPr>
            <w:tcW w:type="dxa" w:w="18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$97.91</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Juan Hernandez</w:t>
            </w:r>
          </w:p>
        </w:tc>
        <w:tc>
          <w:tcPr>
            <w:tcW w:type="dxa" w:w="1800"/>
            <w:tcMar>
              <w:top w:type="dxa" w:w="80"/>
              <w:left w:type="dxa" w:w="120"/>
              <w:bottom w:type="dxa" w:w="80"/>
              <w:right w:type="dxa" w:w="120"/>
            </w:tcMar>
            <w:vAlign w:val="center"/>
          </w:tcPr>
          <w:p>
            <w:pPr>
              <w:jc w:val="center"/>
            </w:pPr>
            <w:r>
              <w:rPr>
                <w:b w:val="false"/>
                <w:bCs w:val="false"/>
                <w:color w:val="000000"/>
                <w:sz w:val="20"/>
                <w:szCs w:val="20"/>
              </w:rPr>
              <w:t xml:space="preserve">41</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$2,410.70</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$1,021.60</w:t>
            </w:r>
          </w:p>
        </w:tc>
        <w:tc>
          <w:tcPr>
            <w:tcW w:type="dxa" w:w="1800"/>
            <w:tcMar>
              <w:top w:type="dxa" w:w="80"/>
              <w:left w:type="dxa" w:w="120"/>
              <w:bottom w:type="dxa" w:w="80"/>
              <w:right w:type="dxa" w:w="120"/>
            </w:tcMar>
            <w:vAlign w:val="center"/>
          </w:tcPr>
          <w:p>
            <w:pPr>
              <w:jc w:val="center"/>
            </w:pPr>
            <w:r>
              <w:rPr>
                <w:b w:val="false"/>
                <w:bCs w:val="false"/>
                <w:color w:val="000000"/>
                <w:sz w:val="20"/>
                <w:szCs w:val="20"/>
              </w:rPr>
              <w:t xml:space="preserve">$58.80</w:t>
            </w:r>
          </w:p>
        </w:tc>
      </w:tr>
    </w:tbl>
    <w:p>
      <w:pPr>
        <w:spacing w:before="200"/>
      </w:pPr>
    </w:p>
    <w:p>
      <w:pPr>
        <w:spacing w:after="160" w:line="276"/>
      </w:pPr>
      <w:r>
        <w:rPr>
          <w:sz w:val="22"/>
          <w:szCs w:val="22"/>
        </w:rPr>
        <w:t xml:space="preserve">Doug Smith closed the most transactions (66, nearly 2x the next closest rep) but at a lower average sale price, resulting in the second-highest revenue. Charlie Barns closed fewer, higher-value deals — the highest revenue per transaction of the team ($181.92 average) — and earned the largest total commission ($201.51). This split suggests Doug Smith is effective at high-frequency/low-ticket sales while Charlie Barns is stronger at upselling into higher-value products such as Water Pumps.</w:t>
      </w:r>
    </w:p>
    <w:p>
      <w:pPr>
        <w:pStyle w:val="Heading2"/>
        <w:spacing w:after="120" w:before="240"/>
      </w:pPr>
      <w:r>
        <w:t xml:space="preserve">3.4 Regional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00"/>
      </w:tblGrid>
      <w:tr>
        <w:trPr>
          <w:tblHeader/>
        </w:trPr>
        <w:tc>
          <w:tcPr>
            <w:tcW w:type="dxa" w:w="2200"/>
            <w:shd w:fill="1F4E78" w:color="auto" w:val="clear"/>
            <w:tcMar>
              <w:top w:type="dxa" w:w="80"/>
              <w:left w:type="dxa" w:w="120"/>
              <w:bottom w:type="dxa" w:w="80"/>
              <w:right w:type="dxa" w:w="120"/>
            </w:tcMar>
            <w:vAlign w:val="center"/>
          </w:tcPr>
          <w:p>
            <w:pPr>
              <w:jc w:val="center"/>
            </w:pPr>
            <w:r>
              <w:rPr>
                <w:b/>
                <w:bCs/>
                <w:color w:val="FFFFFF"/>
                <w:sz w:val="20"/>
                <w:szCs w:val="20"/>
              </w:rPr>
              <w:t xml:space="preserve">Location</w:t>
            </w:r>
          </w:p>
        </w:tc>
        <w:tc>
          <w:tcPr>
            <w:tcW w:type="dxa" w:w="2000"/>
            <w:shd w:fill="1F4E78" w:color="auto" w:val="clear"/>
            <w:tcMar>
              <w:top w:type="dxa" w:w="80"/>
              <w:left w:type="dxa" w:w="120"/>
              <w:bottom w:type="dxa" w:w="80"/>
              <w:right w:type="dxa" w:w="120"/>
            </w:tcMar>
            <w:vAlign w:val="center"/>
          </w:tcPr>
          <w:p>
            <w:pPr>
              <w:jc w:val="center"/>
            </w:pPr>
            <w:r>
              <w:rPr>
                <w:b/>
                <w:bCs/>
                <w:color w:val="FFFFFF"/>
                <w:sz w:val="20"/>
                <w:szCs w:val="20"/>
              </w:rPr>
              <w:t xml:space="preserve">Transactions</w:t>
            </w:r>
          </w:p>
        </w:tc>
        <w:tc>
          <w:tcPr>
            <w:tcW w:type="dxa" w:w="2400"/>
            <w:shd w:fill="1F4E78" w:color="auto" w:val="clear"/>
            <w:tcMar>
              <w:top w:type="dxa" w:w="80"/>
              <w:left w:type="dxa" w:w="120"/>
              <w:bottom w:type="dxa" w:w="80"/>
              <w:right w:type="dxa" w:w="120"/>
            </w:tcMar>
            <w:vAlign w:val="center"/>
          </w:tcPr>
          <w:p>
            <w:pPr>
              <w:jc w:val="center"/>
            </w:pPr>
            <w:r>
              <w:rPr>
                <w:b/>
                <w:bCs/>
                <w:color w:val="FFFFFF"/>
                <w:sz w:val="20"/>
                <w:szCs w:val="20"/>
              </w:rPr>
              <w:t xml:space="preserve">Revenue</w:t>
            </w:r>
          </w:p>
        </w:tc>
        <w:tc>
          <w:tcPr>
            <w:tcW w:type="dxa" w:w="2400"/>
            <w:shd w:fill="1F4E78" w:color="auto" w:val="clear"/>
            <w:tcMar>
              <w:top w:type="dxa" w:w="80"/>
              <w:left w:type="dxa" w:w="120"/>
              <w:bottom w:type="dxa" w:w="80"/>
              <w:right w:type="dxa" w:w="120"/>
            </w:tcMar>
            <w:vAlign w:val="center"/>
          </w:tcPr>
          <w:p>
            <w:pPr>
              <w:jc w:val="center"/>
            </w:pPr>
            <w:r>
              <w:rPr>
                <w:b/>
                <w:bCs/>
                <w:color w:val="FFFFFF"/>
                <w:sz w:val="20"/>
                <w:szCs w:val="20"/>
              </w:rPr>
              <w:t xml:space="preserve">Profit</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AZ</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50</w:t>
            </w:r>
          </w:p>
        </w:tc>
        <w:tc>
          <w:tcPr>
            <w:tcW w:type="dxa" w:w="24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$5,660.00</w:t>
            </w:r>
          </w:p>
        </w:tc>
        <w:tc>
          <w:tcPr>
            <w:tcW w:type="dxa" w:w="24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$1,979.10</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NV</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38</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$4,722.50</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$1,710.10</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CA</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46</w:t>
            </w:r>
          </w:p>
        </w:tc>
        <w:tc>
          <w:tcPr>
            <w:tcW w:type="dxa" w:w="24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$3,537.60</w:t>
            </w:r>
          </w:p>
        </w:tc>
        <w:tc>
          <w:tcPr>
            <w:tcW w:type="dxa" w:w="24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$1,485.10</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NM</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20</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$1,776.90</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$681.80</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UT</w:t>
            </w:r>
          </w:p>
        </w:tc>
        <w:tc>
          <w:tcPr>
            <w:tcW w:type="dxa" w:w="2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11</w:t>
            </w:r>
          </w:p>
        </w:tc>
        <w:tc>
          <w:tcPr>
            <w:tcW w:type="dxa" w:w="24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$1,347.60</w:t>
            </w:r>
          </w:p>
        </w:tc>
        <w:tc>
          <w:tcPr>
            <w:tcW w:type="dxa" w:w="24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$476.80</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CO</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6</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$66.00</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$23.80</w:t>
            </w:r>
          </w:p>
        </w:tc>
      </w:tr>
    </w:tbl>
    <w:p>
      <w:pPr>
        <w:spacing w:before="200"/>
      </w:pPr>
    </w:p>
    <w:p>
      <w:pPr>
        <w:spacing w:after="160" w:line="276"/>
      </w:pPr>
      <w:r>
        <w:rPr>
          <w:sz w:val="22"/>
          <w:szCs w:val="22"/>
        </w:rPr>
        <w:t xml:space="preserve">Arizona (AZ) leads both in transaction count (50) and revenue ($5,660), followed closely by Nevada. Colorado is a clear outlier with only 6 transactions and $66 in revenue across the whole year — far below every other state — and may warrant a review of whether the business has adequate coverage or marketing presence there.</w:t>
      </w:r>
    </w:p>
    <w:p>
      <w:pPr>
        <w:pStyle w:val="Heading1"/>
        <w:spacing w:after="160" w:before="320"/>
      </w:pPr>
      <w:r>
        <w:t xml:space="preserve">4. Predictions &amp; Forecast</w:t>
      </w:r>
    </w:p>
    <w:p>
      <w:pPr>
        <w:spacing w:after="160" w:line="276"/>
      </w:pPr>
      <w:r>
        <w:rPr>
          <w:sz w:val="22"/>
          <w:szCs w:val="22"/>
        </w:rPr>
        <w:t xml:space="preserve">Two complementary forecasting approaches were built directly into the workbook's Forecast tab:</w:t>
      </w:r>
    </w:p>
    <w:p>
      <w:pPr>
        <w:pStyle w:val="Heading2"/>
        <w:spacing w:after="120" w:before="240"/>
      </w:pPr>
      <w:r>
        <w:t xml:space="preserve">4.1 Linear Trend Projection</w:t>
      </w:r>
    </w:p>
    <w:p>
      <w:pPr>
        <w:spacing w:after="160" w:line="276"/>
      </w:pPr>
      <w:r>
        <w:rPr>
          <w:sz w:val="22"/>
          <w:szCs w:val="22"/>
        </w:rPr>
        <w:t xml:space="preserve">A least-squares trend line (SLOPE/INTERCEPT) was fitted to the 12 months of actual revenue and extended 3 months forward: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1F4E78" w:color="auto" w:val="clear"/>
            <w:tcMar>
              <w:top w:type="dxa" w:w="80"/>
              <w:left w:type="dxa" w:w="120"/>
              <w:bottom w:type="dxa" w:w="80"/>
              <w:right w:type="dxa" w:w="120"/>
            </w:tcMar>
            <w:vAlign w:val="center"/>
          </w:tcPr>
          <w:p>
            <w:pPr>
              <w:jc w:val="center"/>
            </w:pPr>
            <w:r>
              <w:rPr>
                <w:b/>
                <w:bCs/>
                <w:color w:val="FFFFFF"/>
                <w:sz w:val="20"/>
                <w:szCs w:val="20"/>
              </w:rPr>
              <w:t xml:space="preserve">Month</w:t>
            </w:r>
          </w:p>
        </w:tc>
        <w:tc>
          <w:tcPr>
            <w:tcW w:type="dxa" w:w="3000"/>
            <w:shd w:fill="1F4E78" w:color="auto" w:val="clear"/>
            <w:tcMar>
              <w:top w:type="dxa" w:w="80"/>
              <w:left w:type="dxa" w:w="120"/>
              <w:bottom w:type="dxa" w:w="80"/>
              <w:right w:type="dxa" w:w="120"/>
            </w:tcMar>
            <w:vAlign w:val="center"/>
          </w:tcPr>
          <w:p>
            <w:pPr>
              <w:jc w:val="center"/>
            </w:pPr>
            <w:r>
              <w:rPr>
                <w:b/>
                <w:bCs/>
                <w:color w:val="FFFFFF"/>
                <w:sz w:val="20"/>
                <w:szCs w:val="20"/>
              </w:rPr>
              <w:t xml:space="preserve">Trend-Projected Revenue</w:t>
            </w:r>
          </w:p>
        </w:tc>
      </w:tr>
      <w:tr>
        <w:tc>
          <w:tcPr>
            <w:tcW w:type="dxa" w:w="30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Jan (Yr 2)</w:t>
            </w:r>
          </w:p>
        </w:tc>
        <w:tc>
          <w:tcPr>
            <w:tcW w:type="dxa" w:w="3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$1,630.85</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Feb (Yr 2)</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$1,662.39</w:t>
            </w:r>
          </w:p>
        </w:tc>
      </w:tr>
      <w:tr>
        <w:tc>
          <w:tcPr>
            <w:tcW w:type="dxa" w:w="3000"/>
            <w:shd w:fill="F2F2F2" w:color="auto" w:val="clear"/>
            <w:tcMar>
              <w:top w:type="dxa" w:w="80"/>
              <w:left w:type="dxa" w:w="120"/>
              <w:bottom w:type="dxa" w:w="80"/>
              <w:right w:type="dxa" w:w="120"/>
            </w:tcMar>
            <w:vAlign w:val="center"/>
          </w:tcPr>
          <w:p>
            <w:pPr>
              <w:jc w:val="left"/>
            </w:pPr>
            <w:r>
              <w:rPr>
                <w:b w:val="false"/>
                <w:bCs w:val="false"/>
                <w:color w:val="000000"/>
                <w:sz w:val="20"/>
                <w:szCs w:val="20"/>
              </w:rPr>
              <w:t xml:space="preserve">Mar (Yr 2)</w:t>
            </w:r>
          </w:p>
        </w:tc>
        <w:tc>
          <w:tcPr>
            <w:tcW w:type="dxa" w:w="3000"/>
            <w:shd w:fill="F2F2F2" w:color="auto" w:val="clear"/>
            <w:tcMar>
              <w:top w:type="dxa" w:w="80"/>
              <w:left w:type="dxa" w:w="120"/>
              <w:bottom w:type="dxa" w:w="80"/>
              <w:right w:type="dxa" w:w="120"/>
            </w:tcMar>
            <w:vAlign w:val="center"/>
          </w:tcPr>
          <w:p>
            <w:pPr>
              <w:jc w:val="center"/>
            </w:pPr>
            <w:r>
              <w:rPr>
                <w:b w:val="false"/>
                <w:bCs w:val="false"/>
                <w:color w:val="000000"/>
                <w:sz w:val="20"/>
                <w:szCs w:val="20"/>
              </w:rPr>
              <w:t xml:space="preserve">$1,693.92</w:t>
            </w:r>
          </w:p>
        </w:tc>
      </w:tr>
    </w:tbl>
    <w:p>
      <w:pPr>
        <w:spacing w:before="200"/>
      </w:pPr>
    </w:p>
    <w:p>
      <w:pPr>
        <w:spacing w:after="160" w:line="276"/>
      </w:pPr>
      <w:r>
        <w:rPr>
          <w:sz w:val="22"/>
          <w:szCs w:val="22"/>
        </w:rPr>
        <w:t xml:space="preserve">Projected 3-month total under this method: $4,987.16.</w:t>
      </w:r>
    </w:p>
    <w:p>
      <w:pPr>
        <w:spacing w:after="160" w:line="276"/>
      </w:pPr>
      <w:r>
        <w:rPr>
          <w:i/>
          <w:iCs/>
          <w:color w:val="C00000"/>
          <w:sz w:val="22"/>
          <w:szCs w:val="22"/>
        </w:rPr>
        <w:t xml:space="preserve">Important caveat: the trend line's R² is only 1.2%, meaning a straight line explains barely any of the month-to-month variation. This is expected for a seasonal pool-supply business — revenue is driven far more by the time of year than by a steady month-over-month growth trend, and one year of data is not enough to isolate a reliable seasonal pattern separately from a trend. The linear projection should be read as a rough long-run average, not a precise near-term prediction.</w:t>
      </w:r>
    </w:p>
    <w:p>
      <w:pPr>
        <w:pStyle w:val="Heading2"/>
        <w:spacing w:after="120" w:before="240"/>
      </w:pPr>
      <w:r>
        <w:t xml:space="preserve">4.2 Moving-Average Alternative (Recommended for Near-Term Planning)</w:t>
      </w:r>
    </w:p>
    <w:p>
      <w:pPr>
        <w:spacing w:after="160" w:line="276"/>
      </w:pPr>
      <w:r>
        <w:rPr>
          <w:sz w:val="22"/>
          <w:szCs w:val="22"/>
        </w:rPr>
        <w:t xml:space="preserve">A trailing 3-month moving average (Oct–Dec actuals) gives a more grounded near-term estimate of $1,176.33 per month heading into the new year, consistent with the low-season pattern seen in the equivalent Jan–Mar period this year.</w:t>
      </w:r>
    </w:p>
    <w:p>
      <w:pPr>
        <w:pStyle w:val="Heading2"/>
        <w:spacing w:after="120" w:before="240"/>
      </w:pPr>
      <w:r>
        <w:t xml:space="preserve">4.3 Recommendation</w:t>
      </w:r>
    </w:p>
    <w:p>
      <w:pPr>
        <w:pStyle w:val="ListParagraph"/>
        <w:numPr>
          <w:ilvl w:val="0"/>
          <w:numId w:val="1"/>
        </w:numPr>
        <w:spacing w:after="90"/>
      </w:pPr>
      <w:r>
        <w:rPr>
          <w:sz w:val="22"/>
          <w:szCs w:val="22"/>
        </w:rPr>
        <w:t xml:space="preserve">Use the moving-average figure for short-term (1–2 month) cash-flow and staffing planning, since it reflects current seasonal conditions.</w:t>
      </w:r>
    </w:p>
    <w:p>
      <w:pPr>
        <w:pStyle w:val="ListParagraph"/>
        <w:numPr>
          <w:ilvl w:val="0"/>
          <w:numId w:val="1"/>
        </w:numPr>
        <w:spacing w:after="90"/>
      </w:pPr>
      <w:r>
        <w:rPr>
          <w:sz w:val="22"/>
          <w:szCs w:val="22"/>
        </w:rPr>
        <w:t xml:space="preserve">Once a second year of data is available, replace the linear trend with a seasonal (e.g., month-indexed) forecasting model, which will separate true growth from the recurring summer peak and produce materially more accurate predictions.</w:t>
      </w:r>
    </w:p>
    <w:p>
      <w:pPr>
        <w:pStyle w:val="ListParagraph"/>
        <w:numPr>
          <w:ilvl w:val="0"/>
          <w:numId w:val="1"/>
        </w:numPr>
        <w:spacing w:after="90"/>
      </w:pPr>
      <w:r>
        <w:rPr>
          <w:sz w:val="22"/>
          <w:szCs w:val="22"/>
        </w:rPr>
        <w:t xml:space="preserve">Plan inventory and staffing around the confirmed Jun–Sep peak, with particular emphasis on Water Pump stock given its outsized revenue contribution.</w:t>
      </w:r>
    </w:p>
    <w:p>
      <w:pPr>
        <w:pStyle w:val="Heading1"/>
        <w:spacing w:after="160" w:before="320"/>
      </w:pPr>
      <w:r>
        <w:t xml:space="preserve">5. Conclusion</w:t>
      </w:r>
    </w:p>
    <w:p>
      <w:pPr>
        <w:spacing w:after="160" w:line="276"/>
      </w:pPr>
      <w:r>
        <w:rPr>
          <w:sz w:val="22"/>
          <w:szCs w:val="22"/>
        </w:rPr>
        <w:t xml:space="preserve">Crystal Pools closed the year with $17,110.60 in revenue and a healthy 37.2% profit margin across 171 transactions. The business is highly seasonal and concentrated: one product (Water Pump) drives more than half of all revenue, and one month (July) drives nearly a quarter of the year. The cleaned workbook's pivot tables and dashboard give management a reliable, formula-driven view of performance by month, product, sales person, and location, while the Forecast tab provides two transparent, methodologically distinct starting points for near-term revenue planning. The main opportunity for improvement going forward is collecting a second year of data to build a true seasonal forecasting model and investigating the very low sales volume in Colorado.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Crystal Pools — Sales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2026-07-20T23:10:05.728Z</dcterms:created>
  <dcterms:modified xsi:type="dcterms:W3CDTF">2026-07-20T23:10:05.728Z</dcterms:modified>
</cp:coreProperties>
</file>

<file path=docProps/custom.xml><?xml version="1.0" encoding="utf-8"?>
<Properties xmlns="http://schemas.openxmlformats.org/officeDocument/2006/custom-properties" xmlns:vt="http://schemas.openxmlformats.org/officeDocument/2006/docPropsVTypes"/>
</file>