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F14" w:rsidRDefault="00C127F0">
      <w:bookmarkStart w:id="0" w:name="_GoBack"/>
      <w:bookmarkEnd w:id="0"/>
      <w:r>
        <w:t>*Asiwaju* *Dapo* *Wahab* *Foundation*</w:t>
      </w:r>
    </w:p>
    <w:p w:rsidR="00122F14" w:rsidRDefault="00122F14"/>
    <w:p w:rsidR="00122F14" w:rsidRDefault="00C127F0">
      <w:r>
        <w:t xml:space="preserve"> *Monthly* *Report* *for* *the* *month* *of* *January* *2024* .</w:t>
      </w:r>
    </w:p>
    <w:p w:rsidR="00122F14" w:rsidRDefault="00122F14"/>
    <w:p w:rsidR="00122F14" w:rsidRDefault="00C127F0">
      <w:r>
        <w:t xml:space="preserve"> *_Introduction_* :</w:t>
      </w:r>
    </w:p>
    <w:p w:rsidR="00122F14" w:rsidRDefault="00C127F0">
      <w:r>
        <w:t xml:space="preserve">As of January 2024, the Asiwaju Dapo Wahab Foundation continues its steadfast commitment to addressing Gender-Based Violence (GBV) </w:t>
      </w:r>
      <w:r>
        <w:t>through the GWS/OGSTEP project. This month has seen significant strides in our efforts to create a safer environment, with various initiatives aimed at preventing and combating GBV. Additionally, the foundation has been actively engaged in implementing the</w:t>
      </w:r>
      <w:r>
        <w:t xml:space="preserve"> Drug-Free Pledge for students, promoting drug-free environments for elementary students, and extending this commitment to families and communities. Our progress in these areas reflects our unwavering dedication to the prevention of drug abuse and substanc</w:t>
      </w:r>
      <w:r>
        <w:t>e use, fostering healthier and safer communities.</w:t>
      </w:r>
    </w:p>
    <w:p w:rsidR="00122F14" w:rsidRDefault="00122F14"/>
    <w:p w:rsidR="00122F14" w:rsidRDefault="00C127F0">
      <w:r>
        <w:t>*Progress Update - January 2024:*</w:t>
      </w:r>
    </w:p>
    <w:p w:rsidR="00122F14" w:rsidRDefault="00122F14"/>
    <w:p w:rsidR="00122F14" w:rsidRDefault="00C127F0">
      <w:r>
        <w:t>- **Drug-Free Pledge for Students:**</w:t>
      </w:r>
    </w:p>
    <w:p w:rsidR="00122F14" w:rsidRDefault="00C127F0">
      <w:r>
        <w:t xml:space="preserve">  - *Completion Status:* Successfully implemented the drug-free pledge initiative.</w:t>
      </w:r>
    </w:p>
    <w:p w:rsidR="00122F14" w:rsidRDefault="00C127F0">
      <w:r>
        <w:t xml:space="preserve">  - *Results/Outputs:* 60% of students committed t</w:t>
      </w:r>
      <w:r>
        <w:t>o the pledge.</w:t>
      </w:r>
    </w:p>
    <w:p w:rsidR="00122F14" w:rsidRDefault="00C127F0">
      <w:r>
        <w:t xml:space="preserve">  - *Next Step:* Monitor and reinforce the pledge throughout the year.</w:t>
      </w:r>
    </w:p>
    <w:p w:rsidR="00122F14" w:rsidRDefault="00122F14"/>
    <w:p w:rsidR="00122F14" w:rsidRDefault="00C127F0">
      <w:r>
        <w:t>- **Budget Setting:**</w:t>
      </w:r>
    </w:p>
    <w:p w:rsidR="00122F14" w:rsidRDefault="00C127F0">
      <w:r>
        <w:t xml:space="preserve">  - *Completion Status:* Budget finalized for the specified period.</w:t>
      </w:r>
    </w:p>
    <w:p w:rsidR="00122F14" w:rsidRDefault="00C127F0">
      <w:r>
        <w:t xml:space="preserve">  - *Results/Outputs:* Clear allocation of resources for planned activities.</w:t>
      </w:r>
    </w:p>
    <w:p w:rsidR="00122F14" w:rsidRDefault="00C127F0">
      <w:r>
        <w:t xml:space="preserve">  -</w:t>
      </w:r>
      <w:r>
        <w:t xml:space="preserve"> *Next Step:* Regularly review and adjust the budget as needed.</w:t>
      </w:r>
    </w:p>
    <w:p w:rsidR="00122F14" w:rsidRDefault="00122F14"/>
    <w:p w:rsidR="00122F14" w:rsidRDefault="00C127F0">
      <w:r>
        <w:t>- *Exploring Potential Sponsors:*</w:t>
      </w:r>
    </w:p>
    <w:p w:rsidR="00122F14" w:rsidRDefault="00C127F0">
      <w:r>
        <w:t xml:space="preserve">  - *Completion Status:* Initial discussions held with potential sponsors.</w:t>
      </w:r>
    </w:p>
    <w:p w:rsidR="00122F14" w:rsidRDefault="00C127F0">
      <w:r>
        <w:lastRenderedPageBreak/>
        <w:t xml:space="preserve">  - *Results/Outputs:* Identified two number of potential sponsors interested.</w:t>
      </w:r>
    </w:p>
    <w:p w:rsidR="00122F14" w:rsidRDefault="00C127F0">
      <w:r>
        <w:t xml:space="preserve">  -</w:t>
      </w:r>
      <w:r>
        <w:t xml:space="preserve"> *Next Step:* Develop detailed proposals and initiate follow-up meetings.</w:t>
      </w:r>
    </w:p>
    <w:p w:rsidR="00122F14" w:rsidRDefault="00122F14"/>
    <w:p w:rsidR="00122F14" w:rsidRDefault="00C127F0">
      <w:r>
        <w:t>- *GBV, SEA, and SH Cases:*</w:t>
      </w:r>
    </w:p>
    <w:p w:rsidR="00122F14" w:rsidRDefault="00C127F0">
      <w:r>
        <w:t xml:space="preserve">  - *Completion Status:* Conducted comprehensive assessment of cases.</w:t>
      </w:r>
    </w:p>
    <w:p w:rsidR="00122F14" w:rsidRDefault="00C127F0">
      <w:r>
        <w:t xml:space="preserve">  - *Results/Outputs:* Identified 2 number of cases, categorized by severity.</w:t>
      </w:r>
    </w:p>
    <w:p w:rsidR="00122F14" w:rsidRDefault="00C127F0">
      <w:r>
        <w:t xml:space="preserve">  - *</w:t>
      </w:r>
      <w:r>
        <w:t>Next Step:* Implement appropriate interventions through GWSD / OGSTEP , collaborate with relevant authorities.</w:t>
      </w:r>
    </w:p>
    <w:p w:rsidR="00122F14" w:rsidRDefault="00122F14"/>
    <w:p w:rsidR="00122F14" w:rsidRDefault="00C127F0">
      <w:r>
        <w:t>*Key Performance Indicators (KPIs) - GBV Unit - Child Abuse Case*</w:t>
      </w:r>
    </w:p>
    <w:p w:rsidR="00122F14" w:rsidRDefault="00122F14"/>
    <w:p w:rsidR="00122F14" w:rsidRDefault="00C127F0">
      <w:r>
        <w:t xml:space="preserve">1.  *Case* *Resolution* Time: Achieved resolution within 17 days from the </w:t>
      </w:r>
      <w:r>
        <w:t>date of report (2nd January to 19th January, 2024).</w:t>
      </w:r>
    </w:p>
    <w:p w:rsidR="00122F14" w:rsidRDefault="00122F14"/>
    <w:p w:rsidR="00122F14" w:rsidRDefault="00C127F0">
      <w:r>
        <w:t>2. *Education Enrollment:* Successfully enrolled Deniolabomi Odulana (14 years) in Yewa College of Education Secondary School, Abeokuta, Ogun State, for preparation towards BECE.</w:t>
      </w:r>
    </w:p>
    <w:p w:rsidR="00122F14" w:rsidRDefault="00122F14"/>
    <w:p w:rsidR="00122F14" w:rsidRDefault="00C127F0">
      <w:r>
        <w:t>3. *Financial Accountab</w:t>
      </w:r>
      <w:r>
        <w:t>ility:* Ensured Mr. Oluwasoga Olanipekun's compliance by compelling him to pay Deniolabomi Odulana's school fees.</w:t>
      </w:r>
    </w:p>
    <w:p w:rsidR="00122F14" w:rsidRDefault="00122F14"/>
    <w:p w:rsidR="00122F14" w:rsidRDefault="00C127F0">
      <w:r>
        <w:t>4. *Caregiver Placement:* Implemented a safety and well-being plan by placing Deniolabomi Odulana under the care of a caregiver until assuran</w:t>
      </w:r>
      <w:r>
        <w:t>ce of her safety and well-being, prior to potential family rehabilitation.</w:t>
      </w:r>
    </w:p>
    <w:p w:rsidR="00122F14" w:rsidRDefault="00122F14"/>
    <w:p w:rsidR="00122F14" w:rsidRDefault="00C127F0">
      <w:r>
        <w:t>5. *Interrogation and Accountability:* Conducted an effective interrogation with Mr. Oluwasoga Olanipekun odulana, revealing the root cause of the abuse as transferred aggression d</w:t>
      </w:r>
      <w:r>
        <w:t>ue to issues with the victim's mother, facilitating a comprehensive understanding of the case.</w:t>
      </w:r>
    </w:p>
    <w:p w:rsidR="00122F14" w:rsidRDefault="00122F14"/>
    <w:p w:rsidR="00122F14" w:rsidRDefault="00122F14"/>
    <w:p w:rsidR="00122F14" w:rsidRDefault="00C127F0">
      <w:r>
        <w:lastRenderedPageBreak/>
        <w:t>**Challenge Faced:**</w:t>
      </w:r>
    </w:p>
    <w:p w:rsidR="00122F14" w:rsidRDefault="00C127F0">
      <w:r>
        <w:t xml:space="preserve">During the implementation of GBV prevention measures in January 2024, a significant challenge emerged in the case of Deniolabomi Odulana, </w:t>
      </w:r>
      <w:r>
        <w:t>a 14-year-old girl who was sent away from home by her father, Mr. Oluwasoga Olanipekun Odulana. The father's use of force to retrieve his daughter posed a serious obstacle to the smooth execution of GBV prevention efforts.</w:t>
      </w:r>
    </w:p>
    <w:p w:rsidR="00122F14" w:rsidRDefault="00122F14"/>
    <w:p w:rsidR="00122F14" w:rsidRDefault="00C127F0">
      <w:r>
        <w:t>**Mitigation Strategies:**</w:t>
      </w:r>
    </w:p>
    <w:p w:rsidR="00122F14" w:rsidRDefault="00C127F0">
      <w:r>
        <w:t>To ad</w:t>
      </w:r>
      <w:r>
        <w:t>dress this challenge, the foundation implemented several strategies:</w:t>
      </w:r>
    </w:p>
    <w:p w:rsidR="00122F14" w:rsidRDefault="00122F14"/>
    <w:p w:rsidR="00122F14" w:rsidRDefault="00C127F0">
      <w:r>
        <w:t>1. *Counseling and Emotional Support:*</w:t>
      </w:r>
    </w:p>
    <w:p w:rsidR="00122F14" w:rsidRDefault="00C127F0">
      <w:r>
        <w:t xml:space="preserve">   - Engaged professional counselors to provide immediate emotional support for Deniolabomi, focusing on her emotional stability.</w:t>
      </w:r>
    </w:p>
    <w:p w:rsidR="00122F14" w:rsidRDefault="00122F14"/>
    <w:p w:rsidR="00122F14" w:rsidRDefault="00C127F0">
      <w:r>
        <w:t>2. *Legal Interv</w:t>
      </w:r>
      <w:r>
        <w:t>ention:*</w:t>
      </w:r>
    </w:p>
    <w:p w:rsidR="00122F14" w:rsidRDefault="00C127F0">
      <w:r>
        <w:t xml:space="preserve">   - Sought legal assistance to protect Deniolabomi's rights and ensure her safety, restraining the father from using force.</w:t>
      </w:r>
    </w:p>
    <w:p w:rsidR="00122F14" w:rsidRDefault="00122F14"/>
    <w:p w:rsidR="00122F14" w:rsidRDefault="00C127F0">
      <w:r>
        <w:t>3. *Community Awareness Programs:*</w:t>
      </w:r>
    </w:p>
    <w:p w:rsidR="00122F14" w:rsidRDefault="00C127F0">
      <w:r>
        <w:t xml:space="preserve">   - Conducted community awareness programs to educate the public on the negative impa</w:t>
      </w:r>
      <w:r>
        <w:t>ct of using force in such situations, fostering understanding and support.</w:t>
      </w:r>
    </w:p>
    <w:p w:rsidR="00122F14" w:rsidRDefault="00122F14"/>
    <w:p w:rsidR="00122F14" w:rsidRDefault="00C127F0">
      <w:r>
        <w:t>4. *Reconciliation Planning:*</w:t>
      </w:r>
    </w:p>
    <w:p w:rsidR="00122F14" w:rsidRDefault="00C127F0">
      <w:r>
        <w:t xml:space="preserve">   - Despite the setback, the foundation continued planning for Deniolabomi'</w:t>
      </w:r>
      <w:r>
        <w:t>s reconciliation with her father, ensuring a comprehensive approach for her well-being.</w:t>
      </w:r>
    </w:p>
    <w:p w:rsidR="00122F14" w:rsidRDefault="00122F14"/>
    <w:p w:rsidR="00122F14" w:rsidRDefault="00C127F0">
      <w:r>
        <w:t>5. *Collaboration with Authorities:*</w:t>
      </w:r>
    </w:p>
    <w:p w:rsidR="00122F14" w:rsidRDefault="00C127F0">
      <w:r>
        <w:t xml:space="preserve">   - Collaborated with relevant authorities to address the father's behavior, seeking legal consequences for any further attempts </w:t>
      </w:r>
      <w:r>
        <w:t>to use force.</w:t>
      </w:r>
    </w:p>
    <w:p w:rsidR="00122F14" w:rsidRDefault="00122F14"/>
    <w:p w:rsidR="00122F14" w:rsidRDefault="00C127F0">
      <w:r>
        <w:lastRenderedPageBreak/>
        <w:t>These strategies were essential in mitigating the challenges posed by the father's actions, allowing for a more comprehensive and protective approach to GBV prevention and response.</w:t>
      </w:r>
    </w:p>
    <w:p w:rsidR="00122F14" w:rsidRDefault="00122F14"/>
    <w:p w:rsidR="00122F14" w:rsidRDefault="00C127F0">
      <w:r>
        <w:t xml:space="preserve"> *Collaborations* *and* *Partnerships* (January 2024)</w:t>
      </w:r>
    </w:p>
    <w:p w:rsidR="00122F14" w:rsidRDefault="00122F14"/>
    <w:p w:rsidR="00122F14" w:rsidRDefault="00C127F0">
      <w:r>
        <w:t xml:space="preserve">In </w:t>
      </w:r>
      <w:r>
        <w:t>January 2024, Asiwaju Dapo Wahab Foundation experienced significant strides in its mission to combat substance abuse through strategic collaborations and partnerships.</w:t>
      </w:r>
    </w:p>
    <w:p w:rsidR="00122F14" w:rsidRDefault="00122F14"/>
    <w:p w:rsidR="00122F14" w:rsidRDefault="00C127F0">
      <w:r>
        <w:t>1. *Drug-Free World US Collaboration:*</w:t>
      </w:r>
    </w:p>
    <w:p w:rsidR="00122F14" w:rsidRDefault="00C127F0">
      <w:r>
        <w:t xml:space="preserve">   The collaboration with Drug-Free World US rea</w:t>
      </w:r>
      <w:r>
        <w:t>ched a milestone on January 12, 2024. The CSI Dissemination and Distribution Centre at Drug-Free World International Headquarters in Los Angeles, US, demonstrated their commitment by placing an order for boxes of training materials on drug abuse prevention</w:t>
      </w:r>
      <w:r>
        <w:t>. These materials are set to fortify the efforts of Asiwaju Dapo Wahab Foundation in Nigeria.</w:t>
      </w:r>
    </w:p>
    <w:p w:rsidR="00122F14" w:rsidRDefault="00122F14"/>
    <w:p w:rsidR="00122F14" w:rsidRDefault="00C127F0">
      <w:r>
        <w:t>2. *NDLEA Ogun State Command Partnership:*</w:t>
      </w:r>
    </w:p>
    <w:p w:rsidR="00122F14" w:rsidRDefault="00C127F0">
      <w:r>
        <w:t xml:space="preserve">   The foundation is actively engaging with the National Drug Law Enforcement Agency (NDLEA) Ogun State Command, Niger</w:t>
      </w:r>
      <w:r>
        <w:t>ia. As part of our commitment to the War Against Drug Abuse campaign, the foundation is planning to present exercise books to support NDLEA's initiatives in the state. This collaborative effort signifies a shared dedication to tackling substance abuse at a</w:t>
      </w:r>
      <w:r>
        <w:t xml:space="preserve"> regional level.</w:t>
      </w:r>
    </w:p>
    <w:p w:rsidR="00122F14" w:rsidRDefault="00122F14"/>
    <w:p w:rsidR="00122F14" w:rsidRDefault="00C127F0">
      <w:r>
        <w:t>These collaborations underscore the Foundation's ongoing commitment to fostering meaningful relationships with stakeholders and actively contributing to the global fight against drug abuse.</w:t>
      </w:r>
    </w:p>
    <w:p w:rsidR="00122F14" w:rsidRDefault="00122F14"/>
    <w:p w:rsidR="00122F14" w:rsidRDefault="00122F14"/>
    <w:p w:rsidR="002A1E40" w:rsidRDefault="00C127F0">
      <w:r>
        <w:t xml:space="preserve">(C) Asiwaju Dapo Wahab Foundation. All Rights </w:t>
      </w:r>
      <w:r>
        <w:t xml:space="preserve">Reserved. The Asiwaju Dapo Wahab Foundation logo is a </w:t>
      </w:r>
    </w:p>
    <w:p w:rsidR="002A1E40" w:rsidRDefault="002A1E40"/>
    <w:p w:rsidR="002A1E40" w:rsidRDefault="002A1E40"/>
    <w:p w:rsidR="00122F14" w:rsidRDefault="00C127F0">
      <w:r>
        <w:t>registered trademark owned by the Asiwaju Dapo Wahab Foundation.</w:t>
      </w:r>
    </w:p>
    <w:p w:rsidR="002A1E40" w:rsidRDefault="002A1E40"/>
    <w:p w:rsidR="002A1E40" w:rsidRDefault="002A1E40"/>
    <w:p w:rsidR="002A1E40" w:rsidRDefault="002A1E40"/>
    <w:p w:rsidR="002A1E40" w:rsidRDefault="002A1E40"/>
    <w:p w:rsidR="002A1E40" w:rsidRDefault="002A1E40"/>
    <w:p w:rsidR="002A1E40" w:rsidRPr="00FC25F1" w:rsidRDefault="002A1E40" w:rsidP="002A1E40">
      <w:pPr>
        <w:spacing w:after="0" w:line="240" w:lineRule="auto"/>
        <w:jc w:val="both"/>
        <w:rPr>
          <w:rFonts w:ascii="Arial Narrow" w:hAnsi="Arial Narrow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67"/>
        <w:gridCol w:w="3436"/>
      </w:tblGrid>
      <w:tr w:rsidR="002A1E40" w:rsidRPr="00A46E59" w:rsidTr="00A06F7D">
        <w:trPr>
          <w:trHeight w:val="480"/>
        </w:trPr>
        <w:tc>
          <w:tcPr>
            <w:tcW w:w="1267" w:type="dxa"/>
          </w:tcPr>
          <w:p w:rsidR="002A1E40" w:rsidRPr="006A2393" w:rsidRDefault="002A1E40" w:rsidP="00A06F7D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6A2393">
              <w:rPr>
                <w:rFonts w:ascii="Arial Narrow" w:hAnsi="Arial Narrow"/>
                <w:b/>
              </w:rPr>
              <w:t xml:space="preserve">Client Name </w:t>
            </w:r>
          </w:p>
        </w:tc>
        <w:tc>
          <w:tcPr>
            <w:tcW w:w="3436" w:type="dxa"/>
          </w:tcPr>
          <w:p w:rsidR="002A1E40" w:rsidRPr="006A2393" w:rsidRDefault="002A1E40" w:rsidP="00A06F7D">
            <w:pPr>
              <w:spacing w:after="0" w:line="240" w:lineRule="auto"/>
              <w:rPr>
                <w:b/>
                <w:szCs w:val="26"/>
              </w:rPr>
            </w:pPr>
            <w:r>
              <w:rPr>
                <w:b/>
                <w:szCs w:val="26"/>
              </w:rPr>
              <w:t>OGUN STATE INSTITUTE OF TECHNOLOGY</w:t>
            </w:r>
          </w:p>
        </w:tc>
      </w:tr>
      <w:tr w:rsidR="002A1E40" w:rsidRPr="00A46E59" w:rsidTr="00A06F7D">
        <w:trPr>
          <w:trHeight w:val="709"/>
        </w:trPr>
        <w:tc>
          <w:tcPr>
            <w:tcW w:w="1267" w:type="dxa"/>
          </w:tcPr>
          <w:p w:rsidR="002A1E40" w:rsidRPr="006A2393" w:rsidRDefault="002A1E40" w:rsidP="00A06F7D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6A2393">
              <w:rPr>
                <w:rFonts w:ascii="Arial Narrow" w:hAnsi="Arial Narrow"/>
                <w:b/>
              </w:rPr>
              <w:t xml:space="preserve">Address </w:t>
            </w:r>
          </w:p>
        </w:tc>
        <w:tc>
          <w:tcPr>
            <w:tcW w:w="3436" w:type="dxa"/>
          </w:tcPr>
          <w:p w:rsidR="002A1E40" w:rsidRPr="006A2393" w:rsidRDefault="002A1E40" w:rsidP="00A06F7D">
            <w:pPr>
              <w:spacing w:after="0" w:line="240" w:lineRule="auto"/>
              <w:rPr>
                <w:b/>
                <w:szCs w:val="26"/>
              </w:rPr>
            </w:pPr>
            <w:r>
              <w:rPr>
                <w:b/>
                <w:szCs w:val="26"/>
              </w:rPr>
              <w:t>IGBESA,OGUN STATE</w:t>
            </w:r>
          </w:p>
        </w:tc>
      </w:tr>
      <w:tr w:rsidR="002A1E40" w:rsidRPr="00A46E59" w:rsidTr="00A06F7D">
        <w:trPr>
          <w:trHeight w:val="469"/>
        </w:trPr>
        <w:tc>
          <w:tcPr>
            <w:tcW w:w="1267" w:type="dxa"/>
          </w:tcPr>
          <w:p w:rsidR="002A1E40" w:rsidRPr="006A2393" w:rsidRDefault="002A1E40" w:rsidP="00A06F7D">
            <w:pPr>
              <w:spacing w:after="0" w:line="240" w:lineRule="auto"/>
              <w:jc w:val="both"/>
              <w:rPr>
                <w:rFonts w:ascii="Arial Narrow" w:hAnsi="Arial Narrow"/>
                <w:b/>
              </w:rPr>
            </w:pPr>
            <w:r w:rsidRPr="006A2393">
              <w:rPr>
                <w:rFonts w:ascii="Arial Narrow" w:hAnsi="Arial Narrow"/>
                <w:b/>
              </w:rPr>
              <w:t xml:space="preserve">Attention </w:t>
            </w:r>
          </w:p>
        </w:tc>
        <w:tc>
          <w:tcPr>
            <w:tcW w:w="3436" w:type="dxa"/>
          </w:tcPr>
          <w:p w:rsidR="002A1E40" w:rsidRPr="006A2393" w:rsidRDefault="002A1E40" w:rsidP="00A06F7D">
            <w:pPr>
              <w:spacing w:after="0" w:line="240" w:lineRule="auto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 THE RECTOR</w:t>
            </w:r>
          </w:p>
          <w:p w:rsidR="002A1E40" w:rsidRPr="006A2393" w:rsidRDefault="002A1E40" w:rsidP="00A06F7D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</w:p>
    <w:p w:rsidR="002A1E40" w:rsidRPr="00A83BAE" w:rsidRDefault="002A1E40" w:rsidP="002A1E40">
      <w:pPr>
        <w:spacing w:after="0" w:line="240" w:lineRule="auto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NAFDAC PROCESSING FOR 50CL SACHET WATER</w:t>
      </w:r>
    </w:p>
    <w:tbl>
      <w:tblPr>
        <w:tblStyle w:val="TableGrid"/>
        <w:tblW w:w="6967" w:type="dxa"/>
        <w:tblLook w:val="04A0"/>
      </w:tblPr>
      <w:tblGrid>
        <w:gridCol w:w="739"/>
        <w:gridCol w:w="3577"/>
        <w:gridCol w:w="832"/>
        <w:gridCol w:w="1819"/>
      </w:tblGrid>
      <w:tr w:rsidR="002A1E40" w:rsidRPr="006A395F" w:rsidTr="00A06F7D">
        <w:tc>
          <w:tcPr>
            <w:tcW w:w="739" w:type="dxa"/>
          </w:tcPr>
          <w:p w:rsidR="002A1E40" w:rsidRPr="006A395F" w:rsidRDefault="002A1E40" w:rsidP="00A06F7D">
            <w:pPr>
              <w:rPr>
                <w:b/>
                <w:sz w:val="32"/>
                <w:szCs w:val="32"/>
              </w:rPr>
            </w:pPr>
            <w:r w:rsidRPr="006A395F">
              <w:rPr>
                <w:b/>
                <w:sz w:val="32"/>
                <w:szCs w:val="32"/>
              </w:rPr>
              <w:t>S/N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b/>
                <w:sz w:val="32"/>
                <w:szCs w:val="32"/>
              </w:rPr>
            </w:pPr>
            <w:r w:rsidRPr="006A395F">
              <w:rPr>
                <w:b/>
                <w:sz w:val="32"/>
                <w:szCs w:val="32"/>
              </w:rPr>
              <w:t>Specification/Description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b/>
                <w:sz w:val="32"/>
                <w:szCs w:val="32"/>
              </w:rPr>
            </w:pPr>
            <w:r w:rsidRPr="006A395F">
              <w:rPr>
                <w:b/>
                <w:sz w:val="32"/>
                <w:szCs w:val="32"/>
              </w:rPr>
              <w:t xml:space="preserve"> </w:t>
            </w:r>
          </w:p>
        </w:tc>
        <w:tc>
          <w:tcPr>
            <w:tcW w:w="1819" w:type="dxa"/>
          </w:tcPr>
          <w:p w:rsidR="002A1E40" w:rsidRPr="006A395F" w:rsidRDefault="002A1E40" w:rsidP="00A06F7D">
            <w:pPr>
              <w:rPr>
                <w:b/>
                <w:sz w:val="32"/>
                <w:szCs w:val="32"/>
              </w:rPr>
            </w:pPr>
            <w:r w:rsidRPr="006A395F">
              <w:rPr>
                <w:b/>
                <w:sz w:val="32"/>
                <w:szCs w:val="32"/>
              </w:rPr>
              <w:t>AMOUNT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6A395F" w:rsidRDefault="002A1E40" w:rsidP="00A06F7D">
            <w:pPr>
              <w:pStyle w:val="ListParagraph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  <w:r w:rsidRPr="006A395F">
              <w:rPr>
                <w:sz w:val="32"/>
                <w:szCs w:val="32"/>
              </w:rPr>
              <w:t>Trademark Registration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6A395F" w:rsidRDefault="002A1E40" w:rsidP="00A06F7D">
            <w:pPr>
              <w:jc w:val="right"/>
              <w:rPr>
                <w:sz w:val="32"/>
                <w:szCs w:val="32"/>
              </w:rPr>
            </w:pPr>
            <w:r w:rsidRPr="006A395F">
              <w:rPr>
                <w:sz w:val="32"/>
                <w:szCs w:val="32"/>
              </w:rPr>
              <w:t>45,000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F56ADA" w:rsidRDefault="002A1E40" w:rsidP="00A06F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  <w:r w:rsidRPr="006A395F">
              <w:rPr>
                <w:sz w:val="32"/>
                <w:szCs w:val="32"/>
              </w:rPr>
              <w:t>Documentation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6A395F" w:rsidRDefault="002A1E40" w:rsidP="00A06F7D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  <w:r w:rsidRPr="006A395F">
              <w:rPr>
                <w:sz w:val="32"/>
                <w:szCs w:val="32"/>
              </w:rPr>
              <w:t>0,000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6A395F" w:rsidRDefault="002A1E40" w:rsidP="00A06F7D">
            <w:pPr>
              <w:pStyle w:val="ListParagraph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  <w:r w:rsidRPr="006A395F">
              <w:rPr>
                <w:sz w:val="32"/>
                <w:szCs w:val="32"/>
              </w:rPr>
              <w:t>Tarriff</w:t>
            </w:r>
            <w:r>
              <w:rPr>
                <w:sz w:val="32"/>
                <w:szCs w:val="32"/>
              </w:rPr>
              <w:t xml:space="preserve"> </w:t>
            </w:r>
            <w:r w:rsidRPr="006A395F">
              <w:rPr>
                <w:sz w:val="32"/>
                <w:szCs w:val="32"/>
              </w:rPr>
              <w:t>: Charges inclusive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6A395F" w:rsidRDefault="002A1E40" w:rsidP="00A06F7D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  <w:r w:rsidRPr="006A395F">
              <w:rPr>
                <w:sz w:val="32"/>
                <w:szCs w:val="32"/>
              </w:rPr>
              <w:t>,000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F56ADA" w:rsidRDefault="002A1E40" w:rsidP="00A06F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  <w:r w:rsidRPr="006A395F">
              <w:rPr>
                <w:sz w:val="32"/>
                <w:szCs w:val="32"/>
              </w:rPr>
              <w:t>Follow up: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6A395F" w:rsidRDefault="002A1E40" w:rsidP="00A06F7D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  <w:r w:rsidRPr="006A395F">
              <w:rPr>
                <w:sz w:val="32"/>
                <w:szCs w:val="32"/>
              </w:rPr>
              <w:t>0,000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6A395F" w:rsidRDefault="002A1E40" w:rsidP="00A06F7D">
            <w:pPr>
              <w:pStyle w:val="ListParagraph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Rubber stereo + Nylon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6A395F" w:rsidRDefault="002A1E40" w:rsidP="00A06F7D">
            <w:pPr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35,000</w:t>
            </w:r>
          </w:p>
        </w:tc>
      </w:tr>
      <w:tr w:rsidR="002A1E40" w:rsidRPr="006A395F" w:rsidTr="00A06F7D">
        <w:tc>
          <w:tcPr>
            <w:tcW w:w="739" w:type="dxa"/>
          </w:tcPr>
          <w:p w:rsidR="002A1E40" w:rsidRPr="006A395F" w:rsidRDefault="002A1E40" w:rsidP="00A06F7D">
            <w:pPr>
              <w:ind w:left="360"/>
              <w:rPr>
                <w:sz w:val="32"/>
                <w:szCs w:val="32"/>
              </w:rPr>
            </w:pPr>
          </w:p>
        </w:tc>
        <w:tc>
          <w:tcPr>
            <w:tcW w:w="3577" w:type="dxa"/>
          </w:tcPr>
          <w:p w:rsidR="002A1E40" w:rsidRPr="006A395F" w:rsidRDefault="002A1E40" w:rsidP="00A06F7D">
            <w:pPr>
              <w:rPr>
                <w:b/>
                <w:sz w:val="32"/>
                <w:szCs w:val="32"/>
              </w:rPr>
            </w:pPr>
            <w:r w:rsidRPr="006A395F"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832" w:type="dxa"/>
          </w:tcPr>
          <w:p w:rsidR="002A1E40" w:rsidRPr="006A395F" w:rsidRDefault="002A1E40" w:rsidP="00A06F7D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2A1E40" w:rsidRPr="009F1184" w:rsidRDefault="002A1E40" w:rsidP="00A06F7D">
            <w:pPr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480,</w:t>
            </w:r>
            <w:r w:rsidRPr="009F1184">
              <w:rPr>
                <w:b/>
                <w:bCs/>
                <w:sz w:val="32"/>
                <w:szCs w:val="32"/>
              </w:rPr>
              <w:t>000</w:t>
            </w:r>
          </w:p>
        </w:tc>
      </w:tr>
    </w:tbl>
    <w:p w:rsidR="002A1E40" w:rsidRPr="009F1184" w:rsidRDefault="002A1E40" w:rsidP="002A1E40">
      <w:pPr>
        <w:spacing w:after="0" w:line="240" w:lineRule="auto"/>
        <w:rPr>
          <w:rFonts w:asciiTheme="majorHAnsi" w:hAnsiTheme="majorHAnsi"/>
          <w:sz w:val="20"/>
          <w:szCs w:val="28"/>
        </w:rPr>
      </w:pPr>
    </w:p>
    <w:p w:rsidR="002A1E40" w:rsidRPr="006A2393" w:rsidRDefault="002A1E40" w:rsidP="002A1E40">
      <w:pPr>
        <w:spacing w:after="0" w:line="24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(</w:t>
      </w:r>
    </w:p>
    <w:p w:rsidR="002A1E40" w:rsidRDefault="002A1E40" w:rsidP="002A1E4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N.B: (1) NAFDAC Inspectors’ Honourarium, to be determined towards inspection time.</w:t>
      </w:r>
    </w:p>
    <w:p w:rsidR="002A1E40" w:rsidRDefault="002A1E40" w:rsidP="002A1E40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(2) Engagement of Production Manager. (3) The company will be responsible for all the logistics involved in coming to the factory for necessary GMP advice.</w:t>
      </w:r>
    </w:p>
    <w:p w:rsidR="002A1E40" w:rsidRPr="00A83BAE" w:rsidRDefault="002A1E40" w:rsidP="002A1E40">
      <w:pPr>
        <w:spacing w:after="0" w:line="240" w:lineRule="auto"/>
        <w:rPr>
          <w:sz w:val="26"/>
          <w:szCs w:val="26"/>
        </w:rPr>
      </w:pPr>
    </w:p>
    <w:p w:rsidR="002A1E40" w:rsidRPr="006A2393" w:rsidRDefault="002A1E40" w:rsidP="002A1E40">
      <w:pPr>
        <w:spacing w:after="0" w:line="240" w:lineRule="auto"/>
        <w:rPr>
          <w:i/>
          <w:sz w:val="26"/>
          <w:szCs w:val="26"/>
        </w:rPr>
      </w:pPr>
    </w:p>
    <w:p w:rsidR="002A1E40" w:rsidRPr="00D96365" w:rsidRDefault="002A1E40" w:rsidP="002A1E40">
      <w:pPr>
        <w:spacing w:after="0" w:line="240" w:lineRule="auto"/>
        <w:rPr>
          <w:sz w:val="10"/>
          <w:szCs w:val="26"/>
        </w:rPr>
      </w:pPr>
    </w:p>
    <w:p w:rsidR="002A1E40" w:rsidRPr="00CB3191" w:rsidRDefault="002A1E40" w:rsidP="002A1E40">
      <w:pPr>
        <w:spacing w:after="0" w:line="240" w:lineRule="auto"/>
        <w:rPr>
          <w:rFonts w:asciiTheme="majorHAnsi" w:hAnsiTheme="majorHAnsi"/>
          <w:sz w:val="32"/>
          <w:szCs w:val="26"/>
        </w:rPr>
      </w:pPr>
      <w:r>
        <w:rPr>
          <w:b/>
          <w:sz w:val="26"/>
          <w:szCs w:val="26"/>
        </w:rPr>
        <w:t xml:space="preserve">ASIWAJU  </w:t>
      </w:r>
      <w:r w:rsidRPr="00A83BAE">
        <w:rPr>
          <w:b/>
          <w:sz w:val="26"/>
          <w:szCs w:val="26"/>
        </w:rPr>
        <w:t>DAPO</w:t>
      </w:r>
      <w:r>
        <w:rPr>
          <w:b/>
          <w:sz w:val="26"/>
          <w:szCs w:val="26"/>
        </w:rPr>
        <w:t xml:space="preserve"> </w:t>
      </w:r>
      <w:r w:rsidRPr="00A83BAE">
        <w:rPr>
          <w:b/>
          <w:sz w:val="26"/>
          <w:szCs w:val="26"/>
        </w:rPr>
        <w:t>WAHAB</w:t>
      </w:r>
    </w:p>
    <w:p w:rsidR="002A1E40" w:rsidRDefault="002A1E40" w:rsidP="002A1E40">
      <w:pPr>
        <w:spacing w:after="0" w:line="240" w:lineRule="auto"/>
        <w:rPr>
          <w:i/>
          <w:sz w:val="40"/>
          <w:szCs w:val="26"/>
        </w:rPr>
      </w:pPr>
      <w:r>
        <w:rPr>
          <w:rFonts w:asciiTheme="majorHAnsi" w:hAnsiTheme="majorHAnsi"/>
          <w:sz w:val="20"/>
          <w:szCs w:val="28"/>
        </w:rPr>
        <w:t>MD/CEO</w:t>
      </w:r>
    </w:p>
    <w:p w:rsidR="002A1E40" w:rsidRDefault="002A1E40"/>
    <w:sectPr w:rsidR="002A1E40" w:rsidSect="00122F1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27F0" w:rsidRDefault="00C127F0" w:rsidP="00122F14">
      <w:pPr>
        <w:spacing w:after="0" w:line="240" w:lineRule="auto"/>
      </w:pPr>
      <w:r>
        <w:separator/>
      </w:r>
    </w:p>
  </w:endnote>
  <w:endnote w:type="continuationSeparator" w:id="1">
    <w:p w:rsidR="00C127F0" w:rsidRDefault="00C127F0" w:rsidP="00122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F14" w:rsidRDefault="00122F14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27F0" w:rsidRDefault="00C127F0" w:rsidP="00122F14">
      <w:pPr>
        <w:spacing w:after="0" w:line="240" w:lineRule="auto"/>
      </w:pPr>
      <w:r>
        <w:separator/>
      </w:r>
    </w:p>
  </w:footnote>
  <w:footnote w:type="continuationSeparator" w:id="1">
    <w:p w:rsidR="00C127F0" w:rsidRDefault="00C127F0" w:rsidP="00122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F14" w:rsidRDefault="00122F14">
    <w:pPr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22F14"/>
    <w:rsid w:val="00122F14"/>
    <w:rsid w:val="002A1E40"/>
    <w:rsid w:val="00C12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2F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1E40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1E4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980</Words>
  <Characters>5591</Characters>
  <Application>Microsoft Office Word</Application>
  <DocSecurity>0</DocSecurity>
  <Lines>46</Lines>
  <Paragraphs>13</Paragraphs>
  <ScaleCrop>false</ScaleCrop>
  <Company/>
  <LinksUpToDate>false</LinksUpToDate>
  <CharactersWithSpaces>6558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X689C</dc:creator>
  <cp:lastModifiedBy>SPARKLY-CHERRY</cp:lastModifiedBy>
  <cp:revision>2</cp:revision>
  <dcterms:created xsi:type="dcterms:W3CDTF">2024-02-07T12:34:00Z</dcterms:created>
  <dcterms:modified xsi:type="dcterms:W3CDTF">2025-03-27T18:20:00Z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a0301c81c36b4550b66fc22acb11c530</vt:lpwstr>
  </property>
</Properties>
</file>