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tab/>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tab/>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CyberNest Holdings LLC</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Master Corporate Charter &amp; Treasury Policy</w:t>
      </w:r>
    </w:p>
    <w:p w:rsidR="00000000" w:rsidDel="00000000" w:rsidP="00000000" w:rsidRDefault="00000000" w:rsidRPr="00000000" w14:paraId="00000005">
      <w:pPr>
        <w:spacing w:before="340" w:line="237.60000000000002"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CyberNest Holdings LLC is a manager-managed operating company that provides technical field engineering services while developing proprietary software and security technologies. The company owns all intellectual property, operating assets, and financial capital. CyberNest is not an investment fund or pooled investment vehicle.</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xwli2aukdmg" w:id="0"/>
      <w:bookmarkEnd w:id="0"/>
      <w:r w:rsidDel="00000000" w:rsidR="00000000" w:rsidRPr="00000000">
        <w:rPr>
          <w:rFonts w:ascii="Times New Roman" w:cs="Times New Roman" w:eastAsia="Times New Roman" w:hAnsi="Times New Roman"/>
          <w:b w:val="1"/>
          <w:bCs w:val="1"/>
          <w:sz w:val="46"/>
          <w:szCs w:val="46"/>
          <w:rtl w:val="0"/>
        </w:rPr>
        <w:t xml:space="preserve">Governance</w:t>
      </w:r>
    </w:p>
    <w:p w:rsidR="00000000" w:rsidDel="00000000" w:rsidP="00000000" w:rsidRDefault="00000000" w:rsidRPr="00000000" w14:paraId="00000007">
      <w:pPr>
        <w:spacing w:before="180" w:line="237.60000000000002" w:lineRule="auto"/>
        <w:ind w:right="3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D. Jarrell serves as Chief Executive Officer for Sales and Public Outreach. William R. Moore serves as President and Chief Architect for R&amp;D and technical operations.</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0rvsr9qycu1" w:id="1"/>
      <w:bookmarkEnd w:id="1"/>
      <w:r w:rsidDel="00000000" w:rsidR="00000000" w:rsidRPr="00000000">
        <w:rPr>
          <w:rFonts w:ascii="Times New Roman" w:cs="Times New Roman" w:eastAsia="Times New Roman" w:hAnsi="Times New Roman"/>
          <w:b w:val="1"/>
          <w:bCs w:val="1"/>
          <w:sz w:val="46"/>
          <w:szCs w:val="46"/>
          <w:rtl w:val="0"/>
        </w:rPr>
        <w:t xml:space="preserve">Treasury and Risk Controls</w:t>
      </w:r>
    </w:p>
    <w:p w:rsidR="00000000" w:rsidDel="00000000" w:rsidP="00000000" w:rsidRDefault="00000000" w:rsidRPr="00000000" w14:paraId="00000009">
      <w:pPr>
        <w:spacing w:before="180" w:line="237.60000000000002"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CyberNest operates a centralized corporate treasury. Treasury capital is allocated according to the Hybrid Investment Strategy and managed conservatively to preserve operating runway and long-term stability.</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b8qkjvspirq" w:id="2"/>
      <w:bookmarkEnd w:id="2"/>
      <w:r w:rsidDel="00000000" w:rsidR="00000000" w:rsidRPr="00000000">
        <w:rPr>
          <w:rFonts w:ascii="Times New Roman" w:cs="Times New Roman" w:eastAsia="Times New Roman" w:hAnsi="Times New Roman"/>
          <w:b w:val="1"/>
          <w:bCs w:val="1"/>
          <w:sz w:val="34"/>
          <w:szCs w:val="34"/>
          <w:rtl w:val="0"/>
        </w:rPr>
        <w:t xml:space="preserve">Liquidity Threshold</w:t>
      </w:r>
    </w:p>
    <w:p w:rsidR="00000000" w:rsidDel="00000000" w:rsidP="00000000" w:rsidRDefault="00000000" w:rsidRPr="00000000" w14:paraId="0000000B">
      <w:pPr>
        <w:spacing w:before="180" w:line="237.60000000000002" w:lineRule="auto"/>
        <w:ind w:left="20" w:right="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CyberNest shall maintain no less than six months of projected operating expenses in cash or near-cash instruments at all times.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6vg2fwl8ov4" w:id="3"/>
      <w:bookmarkEnd w:id="3"/>
      <w:r w:rsidDel="00000000" w:rsidR="00000000" w:rsidRPr="00000000">
        <w:rPr>
          <w:rFonts w:ascii="Times New Roman" w:cs="Times New Roman" w:eastAsia="Times New Roman" w:hAnsi="Times New Roman"/>
          <w:b w:val="1"/>
          <w:bCs w:val="1"/>
          <w:sz w:val="34"/>
          <w:szCs w:val="34"/>
          <w:rtl w:val="0"/>
        </w:rPr>
        <w:t xml:space="preserve">Rebalancing Rules</w:t>
      </w:r>
    </w:p>
    <w:p w:rsidR="00000000" w:rsidDel="00000000" w:rsidP="00000000" w:rsidRDefault="00000000" w:rsidRPr="00000000" w14:paraId="0000000D">
      <w:pPr>
        <w:spacing w:before="180" w:line="237.60000000000002" w:lineRule="auto"/>
        <w:ind w:right="8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rebalancing may occur no more than three times per calendar year and must be documented and approved by management.</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xd2s7hlmwe9t" w:id="4"/>
      <w:bookmarkEnd w:id="4"/>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All</w:t>
      </w:r>
      <w:r w:rsidDel="00000000" w:rsidR="00000000" w:rsidRPr="00000000">
        <w:rPr>
          <w:sz w:val="24"/>
          <w:szCs w:val="24"/>
          <w:rtl w:val="0"/>
        </w:rPr>
        <w:t xml:space="preserve"> revenue generated </w:t>
      </w:r>
      <w:r w:rsidDel="00000000" w:rsidR="00000000" w:rsidRPr="00000000">
        <w:rPr>
          <w:b w:val="1"/>
          <w:bCs w:val="1"/>
          <w:sz w:val="24"/>
          <w:szCs w:val="24"/>
          <w:rtl w:val="0"/>
        </w:rPr>
        <w:t xml:space="preserve">or</w:t>
      </w:r>
      <w:r w:rsidDel="00000000" w:rsidR="00000000" w:rsidRPr="00000000">
        <w:rPr>
          <w:sz w:val="24"/>
          <w:szCs w:val="24"/>
          <w:rtl w:val="0"/>
        </w:rPr>
        <w:t xml:space="preserve"> acquired must be filtered through the Hybrid Investment strategy, even dividend payouts from investments gets redivided 30% </w:t>
      </w:r>
      <w:r w:rsidDel="00000000" w:rsidR="00000000" w:rsidRPr="00000000">
        <w:rPr>
          <w:b w:val="1"/>
          <w:bCs w:val="1"/>
          <w:sz w:val="24"/>
          <w:szCs w:val="24"/>
          <w:u w:val="single"/>
          <w:rtl w:val="0"/>
        </w:rPr>
        <w:t xml:space="preserve">net profit</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from dividends</w:t>
      </w:r>
      <w:r w:rsidDel="00000000" w:rsidR="00000000" w:rsidRPr="00000000">
        <w:rPr>
          <w:sz w:val="24"/>
          <w:szCs w:val="24"/>
          <w:rtl w:val="0"/>
        </w:rPr>
        <w:t xml:space="preserve"> is paid out via NAV of capital units to members and </w:t>
      </w:r>
      <w:r w:rsidDel="00000000" w:rsidR="00000000" w:rsidRPr="00000000">
        <w:rPr>
          <w:sz w:val="24"/>
          <w:szCs w:val="24"/>
          <w:rtl w:val="0"/>
        </w:rPr>
        <w:t xml:space="preserve">depts</w:t>
      </w:r>
      <w:r w:rsidDel="00000000" w:rsidR="00000000" w:rsidRPr="00000000">
        <w:rPr>
          <w:sz w:val="24"/>
          <w:szCs w:val="24"/>
          <w:rtl w:val="0"/>
        </w:rPr>
        <w:t xml:space="preserve">, while the remaining 70% capital must be balanced into the Hybrid Investment Strategy</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uiiqndridxa" w:id="5"/>
      <w:bookmarkEnd w:id="5"/>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ioyrcvs2q6wd" w:id="6"/>
      <w:bookmarkEnd w:id="6"/>
      <w:r w:rsidDel="00000000" w:rsidR="00000000" w:rsidRPr="00000000">
        <w:rPr>
          <w:rFonts w:ascii="Times New Roman" w:cs="Times New Roman" w:eastAsia="Times New Roman" w:hAnsi="Times New Roman"/>
          <w:b w:val="1"/>
          <w:bCs w:val="1"/>
          <w:sz w:val="46"/>
          <w:szCs w:val="46"/>
          <w:rtl w:val="0"/>
        </w:rPr>
        <w:t xml:space="preserve">Hybrid Investment Strategy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 Type</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Allocation %</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Dividend Income</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r>
        <w:trPr>
          <w:cantSplit w:val="0"/>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 Near Cash Reserve</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Diversification</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Sector</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BreakDown of Allocations within Types</w:t>
      </w:r>
      <w:r w:rsidDel="00000000" w:rsidR="00000000" w:rsidRPr="00000000">
        <w:rPr>
          <w:rtl w:val="0"/>
        </w:rPr>
      </w:r>
    </w:p>
    <w:p w:rsidR="00000000" w:rsidDel="00000000" w:rsidP="00000000" w:rsidRDefault="00000000" w:rsidRPr="00000000" w14:paraId="00000024">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Dividend Income[55% total]</w:t>
      </w:r>
    </w:p>
    <w:p w:rsidR="00000000" w:rsidDel="00000000" w:rsidP="00000000" w:rsidRDefault="00000000" w:rsidRPr="00000000" w14:paraId="00000025">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JEPQ</w:t>
      </w: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b w:val="1"/>
          <w:bCs w:val="1"/>
          <w:i w:val="1"/>
          <w:iCs w:val="1"/>
          <w:sz w:val="20"/>
          <w:szCs w:val="20"/>
          <w:rtl w:val="0"/>
        </w:rPr>
        <w:t xml:space="preserve">SCHD</w:t>
      </w: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Fonts w:ascii="Times New Roman" w:cs="Times New Roman" w:eastAsia="Times New Roman" w:hAnsi="Times New Roman"/>
          <w:b w:val="1"/>
          <w:bCs w:val="1"/>
          <w:i w:val="1"/>
          <w:iCs w:val="1"/>
          <w:sz w:val="20"/>
          <w:szCs w:val="20"/>
          <w:rtl w:val="0"/>
        </w:rPr>
        <w:t xml:space="preserve">VOO</w:t>
      </w:r>
      <w:r w:rsidDel="00000000" w:rsidR="00000000" w:rsidRPr="00000000">
        <w:rPr>
          <w:rFonts w:ascii="Times New Roman" w:cs="Times New Roman" w:eastAsia="Times New Roman" w:hAnsi="Times New Roman"/>
          <w:sz w:val="20"/>
          <w:szCs w:val="20"/>
          <w:rtl w:val="0"/>
        </w:rPr>
        <w:t xml:space="preserve">[15%]</w:t>
      </w:r>
    </w:p>
    <w:p w:rsidR="00000000" w:rsidDel="00000000" w:rsidP="00000000" w:rsidRDefault="00000000" w:rsidRPr="00000000" w14:paraId="00000026">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USD Near Cash Reserve[20% total]</w:t>
      </w:r>
    </w:p>
    <w:p w:rsidR="00000000" w:rsidDel="00000000" w:rsidP="00000000" w:rsidRDefault="00000000" w:rsidRPr="00000000" w14:paraId="00000027">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USD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Cash</w:t>
      </w: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b w:val="1"/>
          <w:bCs w:val="1"/>
          <w:i w:val="1"/>
          <w:iCs w:val="1"/>
          <w:sz w:val="20"/>
          <w:szCs w:val="20"/>
          <w:rtl w:val="0"/>
        </w:rPr>
        <w:t xml:space="preserve">SGOV</w:t>
      </w: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28">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Diversification[10% total]</w:t>
      </w:r>
    </w:p>
    <w:p w:rsidR="00000000" w:rsidDel="00000000" w:rsidP="00000000" w:rsidRDefault="00000000" w:rsidRPr="00000000" w14:paraId="00000029">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VXUS</w:t>
      </w: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b w:val="1"/>
          <w:bCs w:val="1"/>
          <w:i w:val="1"/>
          <w:iCs w:val="1"/>
          <w:sz w:val="20"/>
          <w:szCs w:val="20"/>
          <w:rtl w:val="0"/>
        </w:rPr>
        <w:t xml:space="preserve">SPGI</w:t>
      </w: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02A">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Defense Sector[10% total]</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b w:val="1"/>
          <w:bCs w:val="1"/>
          <w:i w:val="1"/>
          <w:iCs w:val="1"/>
          <w:sz w:val="20"/>
          <w:szCs w:val="20"/>
          <w:rtl w:val="0"/>
        </w:rPr>
        <w:t xml:space="preserve">ITA</w:t>
      </w: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2B">
      <w:pPr>
        <w:spacing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Crypto[5% total]</w:t>
      </w:r>
    </w:p>
    <w:p w:rsidR="00000000" w:rsidDel="00000000" w:rsidP="00000000" w:rsidRDefault="00000000" w:rsidRPr="00000000" w14:paraId="0000002C">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0"/>
          <w:szCs w:val="20"/>
          <w:rtl w:val="0"/>
        </w:rPr>
        <w:t xml:space="preserve">BTC</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b w:val="1"/>
          <w:bCs w:val="1"/>
          <w:i w:val="1"/>
          <w:iCs w:val="1"/>
          <w:sz w:val="20"/>
          <w:szCs w:val="20"/>
          <w:rtl w:val="0"/>
        </w:rPr>
        <w:t xml:space="preserve">SOL</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p w:rsidR="00000000" w:rsidDel="00000000" w:rsidP="00000000" w:rsidRDefault="00000000" w:rsidRPr="00000000" w14:paraId="0000002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Version[1.0.2]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