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Vulnerability and incident reporting runbook</w:t>
      </w:r>
    </w:p>
    <w:p>
      <w:r>
        <w:rPr>
          <w:b/>
        </w:rPr>
        <w:t>[Company legal name]</w:t>
      </w:r>
      <w:r>
        <w:rPr/>
        <w:t xml:space="preserve"> · Version 1.0 · Last practice run: [YYYY-MM-DD or 'not yet'] · Next practice run: [YYYY-MM-DD]</w:t>
      </w:r>
    </w:p>
    <w:p>
      <w:pPr>
        <w:ind w:left="283" w:right="283"/>
        <w:shd w:val="clear" w:color="auto" w:fill="EAF1FB"/>
        <w:pBdr>
          <w:left w:val="single" w:sz="18" w:space="4" w:color="2F5597"/>
        </w:pBdr>
      </w:pPr>
      <w:r>
        <w:rPr>
          <w:b/>
        </w:rPr>
        <w:t>Keep a printed copy where the team can find it.</w:t>
      </w:r>
      <w:r>
        <w:rPr/>
        <w:t xml:space="preserve"> This runbook explains what to do, and by when, if a vulnerability in one of our products is being actively exploited, or if a severe incident affects the security of one of our products. It summarises the EU Cyber Resilience Act (CRA) reporting duties, which apply from 11 September 2026. It is not legal advice: verify current dates and requirements with our lawyer.</w:t>
      </w:r>
    </w:p>
    <w:p>
      <w:pPr>
        <w:pStyle w:val="Heading2"/>
      </w:pPr>
      <w:r>
        <w:rPr/>
        <w:t>The short version</w:t>
      </w:r>
    </w:p>
    <w:p>
      <w:r>
        <w:rPr/>
        <w:t xml:space="preserve">The clock starts when we </w:t>
      </w:r>
      <w:r>
        <w:rPr>
          <w:b/>
        </w:rPr>
        <w:t>become aware</w:t>
      </w:r>
      <w:r>
        <w:rPr/>
        <w:t xml:space="preserve"> of the problem. Write that moment down.</w:t>
      </w:r>
    </w:p>
    <w:tbl>
      <w:tblPr>
        <w:tblStyle w:val="TableGrid"/>
        <w:tblW w:type="auto" w:w="0"/>
        <w:tblLayout w:type="fixed"/>
        <w:tblLook w:firstColumn="1" w:firstRow="1" w:lastColumn="0" w:lastRow="0" w:noHBand="0" w:noVBand="1" w:val="04A0"/>
      </w:tblPr>
      <w:tblGrid>
        <w:gridCol w:w="3625"/>
        <w:gridCol w:w="3518"/>
        <w:gridCol w:w="2495"/>
      </w:tblGrid>
      <w:tr>
        <w:trPr>
          <w:tblHeader w:val="true"/>
        </w:trPr>
        <w:tc>
          <w:tcPr>
            <w:tcW w:type="dxa" w:w="3625"/>
            <w:shd w:val="clear" w:color="auto" w:fill="D9E2F3"/>
          </w:tcPr>
          <w:p>
            <w:pPr>
              <w:spacing w:after="0"/>
            </w:pPr>
            <w:r>
              <w:rPr>
                <w:b/>
                <w:sz w:val="18"/>
              </w:rPr>
              <w:t>When</w:t>
            </w:r>
          </w:p>
        </w:tc>
        <w:tc>
          <w:tcPr>
            <w:tcW w:type="dxa" w:w="3518"/>
            <w:shd w:val="clear" w:color="auto" w:fill="D9E2F3"/>
          </w:tcPr>
          <w:p>
            <w:pPr>
              <w:spacing w:after="0"/>
            </w:pPr>
            <w:r>
              <w:rPr>
                <w:b/>
                <w:sz w:val="18"/>
              </w:rPr>
              <w:t>What</w:t>
            </w:r>
          </w:p>
        </w:tc>
        <w:tc>
          <w:tcPr>
            <w:tcW w:type="dxa" w:w="2495"/>
            <w:shd w:val="clear" w:color="auto" w:fill="D9E2F3"/>
          </w:tcPr>
          <w:p>
            <w:pPr>
              <w:spacing w:after="0"/>
            </w:pPr>
            <w:r>
              <w:rPr>
                <w:b/>
                <w:sz w:val="18"/>
              </w:rPr>
              <w:t>Who</w:t>
            </w:r>
          </w:p>
        </w:tc>
      </w:tr>
      <w:tr>
        <w:tc>
          <w:tcPr>
            <w:tcW w:type="dxa" w:w="3625"/>
          </w:tcPr>
          <w:p>
            <w:pPr>
              <w:spacing w:after="0"/>
            </w:pPr>
            <w:r>
              <w:rPr>
                <w:sz w:val="18"/>
              </w:rPr>
              <w:t>Straight away</w:t>
            </w:r>
          </w:p>
        </w:tc>
        <w:tc>
          <w:tcPr>
            <w:tcW w:type="dxa" w:w="3518"/>
          </w:tcPr>
          <w:p>
            <w:pPr>
              <w:spacing w:after="0"/>
            </w:pPr>
            <w:r>
              <w:rPr>
                <w:sz w:val="18"/>
              </w:rPr>
              <w:t>Open the incident log, call the incident lead, call the lawyer if it might be reportable</w:t>
            </w:r>
          </w:p>
        </w:tc>
        <w:tc>
          <w:tcPr>
            <w:tcW w:type="dxa" w:w="2495"/>
          </w:tcPr>
          <w:p>
            <w:pPr>
              <w:spacing w:after="0"/>
            </w:pPr>
            <w:r>
              <w:rPr>
                <w:sz w:val="18"/>
              </w:rPr>
              <w:t>Whoever spots it</w:t>
            </w:r>
          </w:p>
        </w:tc>
      </w:tr>
      <w:tr>
        <w:tc>
          <w:tcPr>
            <w:tcW w:type="dxa" w:w="3625"/>
          </w:tcPr>
          <w:p>
            <w:pPr>
              <w:spacing w:after="0"/>
            </w:pPr>
            <w:r>
              <w:rPr>
                <w:sz w:val="18"/>
              </w:rPr>
              <w:t>Within 24 hours</w:t>
            </w:r>
          </w:p>
        </w:tc>
        <w:tc>
          <w:tcPr>
            <w:tcW w:type="dxa" w:w="3518"/>
          </w:tcPr>
          <w:p>
            <w:pPr>
              <w:spacing w:after="0"/>
            </w:pPr>
            <w:r>
              <w:rPr>
                <w:b/>
                <w:sz w:val="18"/>
              </w:rPr>
              <w:t>Early warning</w:t>
            </w:r>
            <w:r>
              <w:rPr>
                <w:sz w:val="18"/>
              </w:rPr>
              <w:t xml:space="preserve"> on ENISA's single reporting platform</w:t>
            </w:r>
          </w:p>
        </w:tc>
        <w:tc>
          <w:tcPr>
            <w:tcW w:type="dxa" w:w="2495"/>
          </w:tcPr>
          <w:p>
            <w:pPr>
              <w:spacing w:after="0"/>
            </w:pPr>
            <w:r>
              <w:rPr>
                <w:sz w:val="18"/>
              </w:rPr>
              <w:t>Incident lead</w:t>
            </w:r>
          </w:p>
        </w:tc>
      </w:tr>
      <w:tr>
        <w:tc>
          <w:tcPr>
            <w:tcW w:type="dxa" w:w="3625"/>
          </w:tcPr>
          <w:p>
            <w:pPr>
              <w:spacing w:after="0"/>
            </w:pPr>
            <w:r>
              <w:rPr>
                <w:sz w:val="18"/>
              </w:rPr>
              <w:t>Within 72 hours</w:t>
            </w:r>
          </w:p>
        </w:tc>
        <w:tc>
          <w:tcPr>
            <w:tcW w:type="dxa" w:w="3518"/>
          </w:tcPr>
          <w:p>
            <w:pPr>
              <w:spacing w:after="0"/>
            </w:pPr>
            <w:r>
              <w:rPr>
                <w:b/>
                <w:sz w:val="18"/>
              </w:rPr>
              <w:t>Notification</w:t>
            </w:r>
            <w:r>
              <w:rPr>
                <w:sz w:val="18"/>
              </w:rPr>
              <w:t xml:space="preserve"> with the details we have so far</w:t>
            </w:r>
          </w:p>
        </w:tc>
        <w:tc>
          <w:tcPr>
            <w:tcW w:type="dxa" w:w="2495"/>
          </w:tcPr>
          <w:p>
            <w:pPr>
              <w:spacing w:after="0"/>
            </w:pPr>
            <w:r>
              <w:rPr>
                <w:sz w:val="18"/>
              </w:rPr>
              <w:t>Incident lead with the technical lead</w:t>
            </w:r>
          </w:p>
        </w:tc>
      </w:tr>
      <w:tr>
        <w:tc>
          <w:tcPr>
            <w:tcW w:type="dxa" w:w="3625"/>
          </w:tcPr>
          <w:p>
            <w:pPr>
              <w:spacing w:after="0"/>
            </w:pPr>
            <w:r>
              <w:rPr>
                <w:sz w:val="18"/>
              </w:rPr>
              <w:t>As soon as possible</w:t>
            </w:r>
          </w:p>
        </w:tc>
        <w:tc>
          <w:tcPr>
            <w:tcW w:type="dxa" w:w="3518"/>
          </w:tcPr>
          <w:p>
            <w:pPr>
              <w:spacing w:after="0"/>
            </w:pPr>
            <w:r>
              <w:rPr>
                <w:b/>
                <w:sz w:val="18"/>
              </w:rPr>
              <w:t>Tell affected users</w:t>
            </w:r>
            <w:r>
              <w:rPr>
                <w:sz w:val="18"/>
              </w:rPr>
              <w:t xml:space="preserve"> what is happening and what they can do</w:t>
            </w:r>
          </w:p>
        </w:tc>
        <w:tc>
          <w:tcPr>
            <w:tcW w:type="dxa" w:w="2495"/>
          </w:tcPr>
          <w:p>
            <w:pPr>
              <w:spacing w:after="0"/>
            </w:pPr>
            <w:r>
              <w:rPr>
                <w:sz w:val="18"/>
              </w:rPr>
              <w:t>Communications lead</w:t>
            </w:r>
          </w:p>
        </w:tc>
      </w:tr>
      <w:tr>
        <w:tc>
          <w:tcPr>
            <w:tcW w:type="dxa" w:w="3625"/>
          </w:tcPr>
          <w:p>
            <w:pPr>
              <w:spacing w:after="0"/>
            </w:pPr>
            <w:r>
              <w:rPr>
                <w:sz w:val="18"/>
              </w:rPr>
              <w:t>When the authorities ask</w:t>
            </w:r>
          </w:p>
        </w:tc>
        <w:tc>
          <w:tcPr>
            <w:tcW w:type="dxa" w:w="3518"/>
          </w:tcPr>
          <w:p>
            <w:pPr>
              <w:spacing w:after="0"/>
            </w:pPr>
            <w:r>
              <w:rPr>
                <w:sz w:val="18"/>
              </w:rPr>
              <w:t>Intermediate update</w:t>
            </w:r>
          </w:p>
        </w:tc>
        <w:tc>
          <w:tcPr>
            <w:tcW w:type="dxa" w:w="2495"/>
          </w:tcPr>
          <w:p>
            <w:pPr>
              <w:spacing w:after="0"/>
            </w:pPr>
            <w:r>
              <w:rPr>
                <w:sz w:val="18"/>
              </w:rPr>
              <w:t>Incident lead</w:t>
            </w:r>
          </w:p>
        </w:tc>
      </w:tr>
      <w:tr>
        <w:tc>
          <w:tcPr>
            <w:tcW w:type="dxa" w:w="3625"/>
          </w:tcPr>
          <w:p>
            <w:pPr>
              <w:spacing w:after="0"/>
            </w:pPr>
            <w:r>
              <w:rPr>
                <w:sz w:val="18"/>
              </w:rPr>
              <w:t>Vulnerability: within 14 days after a fix or workaround is available</w:t>
            </w:r>
          </w:p>
        </w:tc>
        <w:tc>
          <w:tcPr>
            <w:tcW w:type="dxa" w:w="3518"/>
          </w:tcPr>
          <w:p>
            <w:pPr>
              <w:spacing w:after="0"/>
            </w:pPr>
            <w:r>
              <w:rPr>
                <w:b/>
                <w:sz w:val="18"/>
              </w:rPr>
              <w:t>Final report</w:t>
            </w:r>
          </w:p>
        </w:tc>
        <w:tc>
          <w:tcPr>
            <w:tcW w:type="dxa" w:w="2495"/>
          </w:tcPr>
          <w:p>
            <w:pPr>
              <w:spacing w:after="0"/>
            </w:pPr>
            <w:r>
              <w:rPr>
                <w:sz w:val="18"/>
              </w:rPr>
              <w:t>Incident lead</w:t>
            </w:r>
          </w:p>
        </w:tc>
      </w:tr>
      <w:tr>
        <w:tc>
          <w:tcPr>
            <w:tcW w:type="dxa" w:w="3625"/>
          </w:tcPr>
          <w:p>
            <w:pPr>
              <w:spacing w:after="0"/>
            </w:pPr>
            <w:r>
              <w:rPr>
                <w:sz w:val="18"/>
              </w:rPr>
              <w:t>Severe incident: within one month after the notification</w:t>
            </w:r>
          </w:p>
        </w:tc>
        <w:tc>
          <w:tcPr>
            <w:tcW w:type="dxa" w:w="3518"/>
          </w:tcPr>
          <w:p>
            <w:pPr>
              <w:spacing w:after="0"/>
            </w:pPr>
            <w:r>
              <w:rPr>
                <w:b/>
                <w:sz w:val="18"/>
              </w:rPr>
              <w:t>Final report</w:t>
            </w:r>
          </w:p>
        </w:tc>
        <w:tc>
          <w:tcPr>
            <w:tcW w:type="dxa" w:w="2495"/>
          </w:tcPr>
          <w:p>
            <w:pPr>
              <w:spacing w:after="0"/>
            </w:pPr>
            <w:r>
              <w:rPr>
                <w:sz w:val="18"/>
              </w:rPr>
              <w:t>Incident lead</w:t>
            </w:r>
          </w:p>
        </w:tc>
      </w:tr>
    </w:tbl>
    <w:p>
      <w:pPr>
        <w:spacing w:after="40"/>
      </w:pPr>
    </w:p>
    <w:p>
      <w:r>
        <w:rPr/>
        <w:t>Reports go through ENISA's single reporting platform. The platform passes them to the national CSIRT that acts as our coordinator and to ENISA at the same time.</w:t>
      </w:r>
    </w:p>
    <w:p>
      <w:pPr>
        <w:pStyle w:val="Heading2"/>
      </w:pPr>
      <w:r>
        <w:rPr/>
        <w:t>Roles and contacts</w:t>
      </w:r>
    </w:p>
    <w:tbl>
      <w:tblPr>
        <w:tblStyle w:val="TableGrid"/>
        <w:tblW w:type="auto" w:w="0"/>
        <w:tblLayout w:type="fixed"/>
        <w:tblLook w:firstColumn="1" w:firstRow="1" w:lastColumn="0" w:lastRow="0" w:noHBand="0" w:noVBand="1" w:val="04A0"/>
      </w:tblPr>
      <w:tblGrid>
        <w:gridCol w:w="2739"/>
        <w:gridCol w:w="3922"/>
        <w:gridCol w:w="955"/>
        <w:gridCol w:w="955"/>
        <w:gridCol w:w="1066"/>
      </w:tblGrid>
      <w:tr>
        <w:trPr>
          <w:tblHeader w:val="true"/>
        </w:trPr>
        <w:tc>
          <w:tcPr>
            <w:tcW w:type="dxa" w:w="2739"/>
            <w:shd w:val="clear" w:color="auto" w:fill="D9E2F3"/>
          </w:tcPr>
          <w:p>
            <w:pPr>
              <w:spacing w:after="0"/>
            </w:pPr>
            <w:r>
              <w:rPr>
                <w:b/>
                <w:sz w:val="18"/>
              </w:rPr>
              <w:t>Role</w:t>
            </w:r>
          </w:p>
        </w:tc>
        <w:tc>
          <w:tcPr>
            <w:tcW w:type="dxa" w:w="3922"/>
            <w:shd w:val="clear" w:color="auto" w:fill="D9E2F3"/>
          </w:tcPr>
          <w:p>
            <w:pPr>
              <w:spacing w:after="0"/>
            </w:pPr>
            <w:r>
              <w:rPr>
                <w:b/>
                <w:sz w:val="18"/>
              </w:rPr>
              <w:t>Name</w:t>
            </w:r>
          </w:p>
        </w:tc>
        <w:tc>
          <w:tcPr>
            <w:tcW w:type="dxa" w:w="955"/>
            <w:shd w:val="clear" w:color="auto" w:fill="D9E2F3"/>
          </w:tcPr>
          <w:p>
            <w:pPr>
              <w:spacing w:after="0"/>
            </w:pPr>
            <w:r>
              <w:rPr>
                <w:b/>
                <w:sz w:val="18"/>
              </w:rPr>
              <w:t>Phone</w:t>
            </w:r>
          </w:p>
        </w:tc>
        <w:tc>
          <w:tcPr>
            <w:tcW w:type="dxa" w:w="955"/>
            <w:shd w:val="clear" w:color="auto" w:fill="D9E2F3"/>
          </w:tcPr>
          <w:p>
            <w:pPr>
              <w:spacing w:after="0"/>
            </w:pPr>
            <w:r>
              <w:rPr>
                <w:b/>
                <w:sz w:val="18"/>
              </w:rPr>
              <w:t>Email</w:t>
            </w:r>
          </w:p>
        </w:tc>
        <w:tc>
          <w:tcPr>
            <w:tcW w:type="dxa" w:w="1066"/>
            <w:shd w:val="clear" w:color="auto" w:fill="D9E2F3"/>
          </w:tcPr>
          <w:p>
            <w:pPr>
              <w:spacing w:after="0"/>
            </w:pPr>
            <w:r>
              <w:rPr>
                <w:b/>
                <w:sz w:val="18"/>
              </w:rPr>
              <w:t>Backup</w:t>
            </w:r>
          </w:p>
        </w:tc>
      </w:tr>
      <w:tr>
        <w:tc>
          <w:tcPr>
            <w:tcW w:type="dxa" w:w="2739"/>
          </w:tcPr>
          <w:p>
            <w:pPr>
              <w:spacing w:after="0"/>
            </w:pPr>
            <w:r>
              <w:rPr>
                <w:sz w:val="18"/>
              </w:rPr>
              <w:t>Incident lead</w:t>
            </w:r>
          </w:p>
        </w:tc>
        <w:tc>
          <w:tcPr>
            <w:tcW w:type="dxa" w:w="3922"/>
          </w:tcPr>
          <w:p>
            <w:pPr>
              <w:spacing w:after="0"/>
            </w:pPr>
            <w:r>
              <w:rPr>
                <w:sz w:val="18"/>
              </w:rPr>
              <w:t>[Name, job title]</w:t>
            </w:r>
          </w:p>
        </w:tc>
        <w:tc>
          <w:tcPr>
            <w:tcW w:type="dxa" w:w="955"/>
          </w:tcPr>
          <w:p>
            <w:pPr>
              <w:spacing w:after="0"/>
            </w:pPr>
            <w:r>
              <w:rPr>
                <w:sz w:val="18"/>
              </w:rPr>
              <w:t>[Phone]</w:t>
            </w:r>
          </w:p>
        </w:tc>
        <w:tc>
          <w:tcPr>
            <w:tcW w:type="dxa" w:w="955"/>
          </w:tcPr>
          <w:p>
            <w:pPr>
              <w:spacing w:after="0"/>
            </w:pPr>
            <w:r>
              <w:rPr>
                <w:sz w:val="18"/>
              </w:rPr>
              <w:t>[Email]</w:t>
            </w:r>
          </w:p>
        </w:tc>
        <w:tc>
          <w:tcPr>
            <w:tcW w:type="dxa" w:w="1066"/>
          </w:tcPr>
          <w:p>
            <w:pPr>
              <w:spacing w:after="0"/>
            </w:pPr>
            <w:r>
              <w:rPr>
                <w:sz w:val="18"/>
              </w:rPr>
              <w:t>[Deputy]</w:t>
            </w:r>
          </w:p>
        </w:tc>
      </w:tr>
      <w:tr>
        <w:tc>
          <w:tcPr>
            <w:tcW w:type="dxa" w:w="2739"/>
          </w:tcPr>
          <w:p>
            <w:pPr>
              <w:spacing w:after="0"/>
            </w:pPr>
            <w:r>
              <w:rPr>
                <w:sz w:val="18"/>
              </w:rPr>
              <w:t>Deputy incident lead</w:t>
            </w:r>
          </w:p>
        </w:tc>
        <w:tc>
          <w:tcPr>
            <w:tcW w:type="dxa" w:w="3922"/>
          </w:tcPr>
          <w:p>
            <w:pPr>
              <w:spacing w:after="0"/>
            </w:pPr>
            <w:r>
              <w:rPr>
                <w:sz w:val="18"/>
              </w:rPr>
              <w:t>[Name, job title]</w:t>
            </w:r>
          </w:p>
        </w:tc>
        <w:tc>
          <w:tcPr>
            <w:tcW w:type="dxa" w:w="955"/>
          </w:tcPr>
          <w:p>
            <w:pPr>
              <w:spacing w:after="0"/>
            </w:pPr>
            <w:r>
              <w:rPr>
                <w:sz w:val="18"/>
              </w:rPr>
              <w:t>[Phone]</w:t>
            </w:r>
          </w:p>
        </w:tc>
        <w:tc>
          <w:tcPr>
            <w:tcW w:type="dxa" w:w="955"/>
          </w:tcPr>
          <w:p>
            <w:pPr>
              <w:spacing w:after="0"/>
            </w:pPr>
            <w:r>
              <w:rPr>
                <w:sz w:val="18"/>
              </w:rPr>
              <w:t>[Email]</w:t>
            </w:r>
          </w:p>
        </w:tc>
        <w:tc>
          <w:tcPr>
            <w:tcW w:type="dxa" w:w="1066"/>
          </w:tcPr>
          <w:p>
            <w:pPr>
              <w:spacing w:after="0"/>
            </w:pPr>
            <w:r>
              <w:rPr>
                <w:sz w:val="18"/>
              </w:rPr>
              <w:t>[Backup]</w:t>
            </w:r>
          </w:p>
        </w:tc>
      </w:tr>
      <w:tr>
        <w:tc>
          <w:tcPr>
            <w:tcW w:type="dxa" w:w="2739"/>
          </w:tcPr>
          <w:p>
            <w:pPr>
              <w:spacing w:after="0"/>
            </w:pPr>
            <w:r>
              <w:rPr>
                <w:sz w:val="18"/>
              </w:rPr>
              <w:t>Technical lead</w:t>
            </w:r>
          </w:p>
        </w:tc>
        <w:tc>
          <w:tcPr>
            <w:tcW w:type="dxa" w:w="3922"/>
          </w:tcPr>
          <w:p>
            <w:pPr>
              <w:spacing w:after="0"/>
            </w:pPr>
            <w:r>
              <w:rPr>
                <w:sz w:val="18"/>
              </w:rPr>
              <w:t>[Name, job title]</w:t>
            </w:r>
          </w:p>
        </w:tc>
        <w:tc>
          <w:tcPr>
            <w:tcW w:type="dxa" w:w="955"/>
          </w:tcPr>
          <w:p>
            <w:pPr>
              <w:spacing w:after="0"/>
            </w:pPr>
            <w:r>
              <w:rPr>
                <w:sz w:val="18"/>
              </w:rPr>
              <w:t>[Phone]</w:t>
            </w:r>
          </w:p>
        </w:tc>
        <w:tc>
          <w:tcPr>
            <w:tcW w:type="dxa" w:w="955"/>
          </w:tcPr>
          <w:p>
            <w:pPr>
              <w:spacing w:after="0"/>
            </w:pPr>
            <w:r>
              <w:rPr>
                <w:sz w:val="18"/>
              </w:rPr>
              <w:t>[Email]</w:t>
            </w:r>
          </w:p>
        </w:tc>
        <w:tc>
          <w:tcPr>
            <w:tcW w:type="dxa" w:w="1066"/>
          </w:tcPr>
          <w:p>
            <w:pPr>
              <w:spacing w:after="0"/>
            </w:pPr>
            <w:r>
              <w:rPr>
                <w:sz w:val="18"/>
              </w:rPr>
              <w:t>[Backup]</w:t>
            </w:r>
          </w:p>
        </w:tc>
      </w:tr>
      <w:tr>
        <w:tc>
          <w:tcPr>
            <w:tcW w:type="dxa" w:w="2739"/>
          </w:tcPr>
          <w:p>
            <w:pPr>
              <w:spacing w:after="0"/>
            </w:pPr>
            <w:r>
              <w:rPr>
                <w:sz w:val="18"/>
              </w:rPr>
              <w:t>Communications lead</w:t>
            </w:r>
          </w:p>
        </w:tc>
        <w:tc>
          <w:tcPr>
            <w:tcW w:type="dxa" w:w="3922"/>
          </w:tcPr>
          <w:p>
            <w:pPr>
              <w:spacing w:after="0"/>
            </w:pPr>
            <w:r>
              <w:rPr>
                <w:sz w:val="18"/>
              </w:rPr>
              <w:t>[Name, job title]</w:t>
            </w:r>
          </w:p>
        </w:tc>
        <w:tc>
          <w:tcPr>
            <w:tcW w:type="dxa" w:w="955"/>
          </w:tcPr>
          <w:p>
            <w:pPr>
              <w:spacing w:after="0"/>
            </w:pPr>
            <w:r>
              <w:rPr>
                <w:sz w:val="18"/>
              </w:rPr>
              <w:t>[Phone]</w:t>
            </w:r>
          </w:p>
        </w:tc>
        <w:tc>
          <w:tcPr>
            <w:tcW w:type="dxa" w:w="955"/>
          </w:tcPr>
          <w:p>
            <w:pPr>
              <w:spacing w:after="0"/>
            </w:pPr>
            <w:r>
              <w:rPr>
                <w:sz w:val="18"/>
              </w:rPr>
              <w:t>[Email]</w:t>
            </w:r>
          </w:p>
        </w:tc>
        <w:tc>
          <w:tcPr>
            <w:tcW w:type="dxa" w:w="1066"/>
          </w:tcPr>
          <w:p>
            <w:pPr>
              <w:spacing w:after="0"/>
            </w:pPr>
            <w:r>
              <w:rPr>
                <w:sz w:val="18"/>
              </w:rPr>
              <w:t>[Backup]</w:t>
            </w:r>
          </w:p>
        </w:tc>
      </w:tr>
      <w:tr>
        <w:tc>
          <w:tcPr>
            <w:tcW w:type="dxa" w:w="2739"/>
          </w:tcPr>
          <w:p>
            <w:pPr>
              <w:spacing w:after="0"/>
            </w:pPr>
            <w:r>
              <w:rPr>
                <w:sz w:val="18"/>
              </w:rPr>
              <w:t>Management sign-off</w:t>
            </w:r>
          </w:p>
        </w:tc>
        <w:tc>
          <w:tcPr>
            <w:tcW w:type="dxa" w:w="3922"/>
          </w:tcPr>
          <w:p>
            <w:pPr>
              <w:spacing w:after="0"/>
            </w:pPr>
            <w:r>
              <w:rPr>
                <w:sz w:val="18"/>
              </w:rPr>
              <w:t>[Name, job title]</w:t>
            </w:r>
          </w:p>
        </w:tc>
        <w:tc>
          <w:tcPr>
            <w:tcW w:type="dxa" w:w="955"/>
          </w:tcPr>
          <w:p>
            <w:pPr>
              <w:spacing w:after="0"/>
            </w:pPr>
            <w:r>
              <w:rPr>
                <w:sz w:val="18"/>
              </w:rPr>
              <w:t>[Phone]</w:t>
            </w:r>
          </w:p>
        </w:tc>
        <w:tc>
          <w:tcPr>
            <w:tcW w:type="dxa" w:w="955"/>
          </w:tcPr>
          <w:p>
            <w:pPr>
              <w:spacing w:after="0"/>
            </w:pPr>
            <w:r>
              <w:rPr>
                <w:sz w:val="18"/>
              </w:rPr>
              <w:t>[Email]</w:t>
            </w:r>
          </w:p>
        </w:tc>
        <w:tc>
          <w:tcPr>
            <w:tcW w:type="dxa" w:w="1066"/>
          </w:tcPr>
          <w:p>
            <w:pPr>
              <w:spacing w:after="0"/>
            </w:pPr>
            <w:r>
              <w:rPr>
                <w:sz w:val="18"/>
              </w:rPr>
              <w:t>[Backup]</w:t>
            </w:r>
          </w:p>
        </w:tc>
      </w:tr>
      <w:tr>
        <w:tc>
          <w:tcPr>
            <w:tcW w:type="dxa" w:w="2739"/>
          </w:tcPr>
          <w:p>
            <w:pPr>
              <w:spacing w:after="0"/>
            </w:pPr>
            <w:r>
              <w:rPr>
                <w:sz w:val="18"/>
              </w:rPr>
              <w:t>Lawyer</w:t>
            </w:r>
          </w:p>
        </w:tc>
        <w:tc>
          <w:tcPr>
            <w:tcW w:type="dxa" w:w="3922"/>
          </w:tcPr>
          <w:p>
            <w:pPr>
              <w:spacing w:after="0"/>
            </w:pPr>
            <w:r>
              <w:rPr>
                <w:sz w:val="18"/>
              </w:rPr>
              <w:t>[Name, law firm]</w:t>
            </w:r>
          </w:p>
        </w:tc>
        <w:tc>
          <w:tcPr>
            <w:tcW w:type="dxa" w:w="955"/>
          </w:tcPr>
          <w:p>
            <w:pPr>
              <w:spacing w:after="0"/>
            </w:pPr>
            <w:r>
              <w:rPr>
                <w:sz w:val="18"/>
              </w:rPr>
              <w:t>[Phone]</w:t>
            </w:r>
          </w:p>
        </w:tc>
        <w:tc>
          <w:tcPr>
            <w:tcW w:type="dxa" w:w="955"/>
          </w:tcPr>
          <w:p>
            <w:pPr>
              <w:spacing w:after="0"/>
            </w:pPr>
            <w:r>
              <w:rPr>
                <w:sz w:val="18"/>
              </w:rPr>
              <w:t>[Email]</w:t>
            </w:r>
          </w:p>
        </w:tc>
        <w:tc>
          <w:tcPr>
            <w:tcW w:type="dxa" w:w="1066"/>
          </w:tcPr>
          <w:p>
            <w:pPr>
              <w:spacing w:after="0"/>
            </w:pPr>
            <w:r>
              <w:rPr>
                <w:sz w:val="18"/>
              </w:rPr>
              <w:t>[Backup]</w:t>
            </w:r>
          </w:p>
        </w:tc>
      </w:tr>
    </w:tbl>
    <w:p>
      <w:pPr>
        <w:spacing w:after="40"/>
      </w:pPr>
    </w:p>
    <w:p>
      <w:r>
        <w:rPr>
          <w:b/>
        </w:rPr>
        <w:t>Outside contacts</w:t>
      </w:r>
    </w:p>
    <w:tbl>
      <w:tblPr>
        <w:tblStyle w:val="TableGrid"/>
        <w:tblW w:type="auto" w:w="0"/>
        <w:tblLayout w:type="fixed"/>
        <w:tblLook w:firstColumn="1" w:firstRow="1" w:lastColumn="0" w:lastRow="0" w:noHBand="0" w:noVBand="1" w:val="04A0"/>
      </w:tblPr>
      <w:tblGrid>
        <w:gridCol w:w="3273"/>
        <w:gridCol w:w="6364"/>
      </w:tblGrid>
      <w:tr>
        <w:trPr>
          <w:tblHeader w:val="true"/>
        </w:trPr>
        <w:tc>
          <w:tcPr>
            <w:tcW w:type="dxa" w:w="3273"/>
            <w:shd w:val="clear" w:color="auto" w:fill="D9E2F3"/>
          </w:tcPr>
          <w:p>
            <w:pPr>
              <w:spacing w:after="0"/>
            </w:pPr>
            <w:r>
              <w:rPr>
                <w:b/>
                <w:sz w:val="18"/>
              </w:rPr>
              <w:t>Who</w:t>
            </w:r>
          </w:p>
        </w:tc>
        <w:tc>
          <w:tcPr>
            <w:tcW w:type="dxa" w:w="6364"/>
            <w:shd w:val="clear" w:color="auto" w:fill="D9E2F3"/>
          </w:tcPr>
          <w:p>
            <w:pPr>
              <w:spacing w:after="0"/>
            </w:pPr>
            <w:r>
              <w:rPr>
                <w:b/>
                <w:sz w:val="18"/>
              </w:rPr>
              <w:t>How to reach them</w:t>
            </w:r>
          </w:p>
        </w:tc>
      </w:tr>
      <w:tr>
        <w:tc>
          <w:tcPr>
            <w:tcW w:type="dxa" w:w="3273"/>
          </w:tcPr>
          <w:p>
            <w:pPr>
              <w:spacing w:after="0"/>
            </w:pPr>
            <w:r>
              <w:rPr>
                <w:sz w:val="18"/>
              </w:rPr>
              <w:t>Reporting platform</w:t>
            </w:r>
          </w:p>
        </w:tc>
        <w:tc>
          <w:tcPr>
            <w:tcW w:type="dxa" w:w="6364"/>
          </w:tcPr>
          <w:p>
            <w:pPr>
              <w:spacing w:after="0"/>
            </w:pPr>
            <w:r>
              <w:rPr>
                <w:sz w:val="18"/>
              </w:rPr>
              <w:t>[ENISA single reporting platform address: confirm the current link]</w:t>
            </w:r>
          </w:p>
        </w:tc>
      </w:tr>
      <w:tr>
        <w:tc>
          <w:tcPr>
            <w:tcW w:type="dxa" w:w="3273"/>
          </w:tcPr>
          <w:p>
            <w:pPr>
              <w:spacing w:after="0"/>
            </w:pPr>
            <w:r>
              <w:rPr>
                <w:sz w:val="18"/>
              </w:rPr>
              <w:t>Our CSIRT coordinator</w:t>
            </w:r>
          </w:p>
        </w:tc>
        <w:tc>
          <w:tcPr>
            <w:tcW w:type="dxa" w:w="6364"/>
          </w:tcPr>
          <w:p>
            <w:pPr>
              <w:spacing w:after="0"/>
            </w:pPr>
            <w:r>
              <w:rPr>
                <w:sz w:val="18"/>
              </w:rPr>
              <w:t>[CSIRT designated as coordinator for you: confirm with your lawyer]</w:t>
            </w:r>
          </w:p>
        </w:tc>
      </w:tr>
      <w:tr>
        <w:tc>
          <w:tcPr>
            <w:tcW w:type="dxa" w:w="3273"/>
          </w:tcPr>
          <w:p>
            <w:pPr>
              <w:spacing w:after="0"/>
            </w:pPr>
            <w:r>
              <w:rPr>
                <w:sz w:val="18"/>
              </w:rPr>
              <w:t>[Hosting or cloud provider]</w:t>
            </w:r>
          </w:p>
        </w:tc>
        <w:tc>
          <w:tcPr>
            <w:tcW w:type="dxa" w:w="6364"/>
          </w:tcPr>
          <w:p>
            <w:pPr>
              <w:spacing w:after="0"/>
            </w:pPr>
            <w:r>
              <w:rPr>
                <w:sz w:val="18"/>
              </w:rPr>
              <w:t>[Support or security contact]</w:t>
            </w:r>
          </w:p>
        </w:tc>
      </w:tr>
      <w:tr>
        <w:tc>
          <w:tcPr>
            <w:tcW w:type="dxa" w:w="3273"/>
          </w:tcPr>
          <w:p>
            <w:pPr>
              <w:spacing w:after="0"/>
            </w:pPr>
            <w:r>
              <w:rPr>
                <w:sz w:val="18"/>
              </w:rPr>
              <w:t>[Main component vendor]</w:t>
            </w:r>
          </w:p>
        </w:tc>
        <w:tc>
          <w:tcPr>
            <w:tcW w:type="dxa" w:w="6364"/>
          </w:tcPr>
          <w:p>
            <w:pPr>
              <w:spacing w:after="0"/>
            </w:pPr>
            <w:r>
              <w:rPr>
                <w:sz w:val="18"/>
              </w:rPr>
              <w:t>[Security advisories page or contact]</w:t>
            </w:r>
          </w:p>
        </w:tc>
      </w:tr>
    </w:tbl>
    <w:p>
      <w:pPr>
        <w:spacing w:after="40"/>
      </w:pPr>
    </w:p>
    <w:p>
      <w:pPr>
        <w:pStyle w:val="Heading2"/>
      </w:pPr>
      <w:r>
        <w:rPr/>
        <w:t>Before you need it</w:t>
      </w:r>
    </w:p>
    <w:p>
      <w:r>
        <w:rPr/>
        <w:t>Do these now, not during an incident.</w:t>
      </w:r>
    </w:p>
    <w:p>
      <w:pPr>
        <w:spacing w:after="60"/>
        <w:ind w:left="340" w:hanging="340"/>
      </w:pPr>
      <w:r>
        <w:t xml:space="preserve">☐  </w:t>
      </w:r>
      <w:r>
        <w:rPr/>
        <w:t>Find the current address of ENISA's single reporting platform and get access for the incident lead and the deputy. Access: [Who has access to the platform].</w:t>
      </w:r>
    </w:p>
    <w:p>
      <w:pPr>
        <w:spacing w:after="60"/>
        <w:ind w:left="340" w:hanging="340"/>
      </w:pPr>
      <w:r>
        <w:t xml:space="preserve">☐  </w:t>
      </w:r>
      <w:r>
        <w:rPr/>
        <w:t>Confirm with the lawyer which CSIRT acts as our coordinator. It depends on where our main establishment in the EU is ([EU country of main establishment]). Companies outside the EU follow different rules, so ask.</w:t>
      </w:r>
    </w:p>
    <w:p>
      <w:pPr>
        <w:spacing w:after="60"/>
        <w:ind w:left="340" w:hanging="340"/>
      </w:pPr>
      <w:r>
        <w:t xml:space="preserve">☐  </w:t>
      </w:r>
      <w:r>
        <w:rPr/>
        <w:t>Write down where our products are sold, because reports must say which EU countries are affected: [EU countries where the product is sold].</w:t>
      </w:r>
    </w:p>
    <w:p>
      <w:pPr>
        <w:spacing w:after="60"/>
        <w:ind w:left="340" w:hanging="340"/>
      </w:pPr>
      <w:r>
        <w:t xml:space="preserve">☐  </w:t>
      </w:r>
      <w:r>
        <w:rPr/>
        <w:t>Keep an up-to-date SBOM for every product version still in use, so we can tell quickly whether a new vulnerability affects us.</w:t>
      </w:r>
    </w:p>
    <w:p>
      <w:pPr>
        <w:spacing w:after="60"/>
        <w:ind w:left="340" w:hanging="340"/>
      </w:pPr>
      <w:r>
        <w:t xml:space="preserve">☐  </w:t>
      </w:r>
      <w:r>
        <w:rPr/>
        <w:t>Save this runbook and the contact table where everyone can find them, including offline.</w:t>
      </w:r>
    </w:p>
    <w:p>
      <w:pPr>
        <w:spacing w:after="60"/>
        <w:ind w:left="340" w:hanging="340"/>
      </w:pPr>
      <w:r>
        <w:t xml:space="preserve">☐  </w:t>
      </w:r>
      <w:r>
        <w:rPr/>
        <w:t>Prepare the user notice template (below) and agree who approves it.</w:t>
      </w:r>
    </w:p>
    <w:p>
      <w:pPr>
        <w:spacing w:after="60"/>
        <w:ind w:left="340" w:hanging="340"/>
      </w:pPr>
      <w:r>
        <w:t xml:space="preserve">☐  </w:t>
      </w:r>
      <w:r>
        <w:rPr/>
        <w:t>Run a one-hour practice run (tabletop exercise) at least once a year, and after every change of people in the roles table.</w:t>
      </w:r>
    </w:p>
    <w:p>
      <w:pPr>
        <w:pStyle w:val="Heading2"/>
      </w:pPr>
      <w:r>
        <w:rPr/>
        <w:t>Step 1: Something has happened (first hour)</w:t>
      </w:r>
    </w:p>
    <w:p>
      <w:r>
        <w:rPr/>
        <w:t>You might learn about a problem from a security researcher, a customer, a supplier's advisory, our own monitoring, a news article or the authorities.</w:t>
      </w:r>
    </w:p>
    <w:p>
      <w:pPr>
        <w:spacing w:after="60"/>
        <w:ind w:left="397" w:hanging="340"/>
      </w:pPr>
      <w:r>
        <w:t>1.</w:t>
        <w:tab/>
      </w:r>
      <w:r>
        <w:rPr/>
        <w:t>Open the incident log (template at the end) and write down the date and time, the source and what is known.</w:t>
      </w:r>
    </w:p>
    <w:p>
      <w:pPr>
        <w:spacing w:after="60"/>
        <w:ind w:left="397" w:hanging="340"/>
      </w:pPr>
      <w:r>
        <w:t>2.</w:t>
        <w:tab/>
      </w:r>
      <w:r>
        <w:rPr/>
        <w:t>Call the incident lead. If you cannot reach them within 30 minutes, call the deputy.</w:t>
      </w:r>
    </w:p>
    <w:p>
      <w:pPr>
        <w:spacing w:after="60"/>
        <w:ind w:left="397" w:hanging="340"/>
      </w:pPr>
      <w:r>
        <w:t>3.</w:t>
        <w:tab/>
      </w:r>
      <w:r>
        <w:rPr/>
        <w:t>Do not delete logs or data. Keep evidence: emails, screenshots, server logs, affected devices.</w:t>
      </w:r>
    </w:p>
    <w:p>
      <w:pPr>
        <w:spacing w:after="60"/>
        <w:ind w:left="397" w:hanging="340"/>
      </w:pPr>
      <w:r>
        <w:t>4.</w:t>
        <w:tab/>
      </w:r>
      <w:r>
        <w:rPr/>
        <w:t>Do not discuss the problem in public or on social media until the communications lead has agreed the wording.</w:t>
      </w:r>
    </w:p>
    <w:p>
      <w:pPr>
        <w:pStyle w:val="Heading2"/>
      </w:pPr>
      <w:r>
        <w:rPr/>
        <w:t>Step 2: Decide whether it must be reported (within a few hours)</w:t>
      </w:r>
    </w:p>
    <w:p>
      <w:r>
        <w:rPr/>
        <w:t>Answer these questions with the technical lead. Write the answers and the time in the log.</w:t>
      </w:r>
    </w:p>
    <w:p>
      <w:pPr>
        <w:spacing w:after="60"/>
        <w:ind w:left="397" w:hanging="340"/>
      </w:pPr>
      <w:r>
        <w:t>1.</w:t>
        <w:tab/>
      </w:r>
      <w:r>
        <w:rPr>
          <w:b/>
        </w:rPr>
        <w:t>Is it about one of our products?</w:t>
      </w:r>
      <w:r>
        <w:rPr/>
        <w:t xml:space="preserve"> This includes our firmware, apps, cloud services the product needs, and third-party components inside them.</w:t>
      </w:r>
    </w:p>
    <w:p>
      <w:pPr>
        <w:spacing w:after="60"/>
        <w:ind w:left="397" w:hanging="340"/>
      </w:pPr>
      <w:r>
        <w:t>2.</w:t>
        <w:tab/>
      </w:r>
      <w:r>
        <w:rPr>
          <w:b/>
        </w:rPr>
        <w:t>Is it an actively exploited vulnerability?</w:t>
      </w:r>
      <w:r>
        <w:rPr/>
        <w:t xml:space="preserve"> That means there is reliable evidence that someone has exploited the vulnerability in a real system without the owner's permission. Examples: the supplier's advisory says it is being exploited, the vulnerability is on CISA's Known Exploited Vulnerabilities list </w:t>
      </w:r>
      <w:r>
        <w:rPr>
          <w:i/>
        </w:rPr>
        <w:t>and</w:t>
      </w:r>
      <w:r>
        <w:rPr/>
        <w:t xml:space="preserve"> can be exploited in our product, or we see attacks in our logs.</w:t>
      </w:r>
    </w:p>
    <w:p>
      <w:pPr>
        <w:spacing w:after="60"/>
        <w:ind w:left="397" w:hanging="340"/>
      </w:pPr>
      <w:r>
        <w:t>3.</w:t>
        <w:tab/>
      </w:r>
      <w:r>
        <w:rPr>
          <w:b/>
        </w:rPr>
        <w:t>Is it a severe incident affecting the security of our product?</w:t>
      </w:r>
      <w:r>
        <w:rPr/>
        <w:t xml:space="preserve"> That means something that harms, or could harm, the product's ability to protect the availability, authenticity, integrity or confidentiality of important data or functions, or that has led, or could lead, to malicious code running on our product or in our users' systems. Example: someone has broken into the update server.</w:t>
      </w:r>
    </w:p>
    <w:p>
      <w:pPr>
        <w:spacing w:after="60"/>
        <w:ind w:left="397" w:hanging="340"/>
      </w:pPr>
      <w:r>
        <w:t>4.</w:t>
        <w:tab/>
      </w:r>
      <w:r>
        <w:rPr>
          <w:b/>
        </w:rPr>
        <w:t>Not sure?</w:t>
      </w:r>
      <w:r>
        <w:rPr/>
        <w:t xml:space="preserve"> Treat it as reportable and call the lawyer. A careful early warning is better than a missed deadline.</w:t>
      </w:r>
    </w:p>
    <w:p>
      <w:r>
        <w:rPr/>
        <w:t>If the answer to question 2 or 3 is yes, continue with step 3. If not, handle it as a normal vulnerability under our vulnerability handling policy, and consider a voluntary report.</w:t>
      </w:r>
    </w:p>
    <w:p>
      <w:pPr>
        <w:pStyle w:val="Heading2"/>
      </w:pPr>
      <w:r>
        <w:rPr/>
        <w:t>Step 3: Early warning (within 24 hours)</w:t>
      </w:r>
    </w:p>
    <w:p>
      <w:r>
        <w:rPr/>
        <w:t>Submit it on ENISA's single reporting platform. Keep it short: it is fine to send it before we know everything.</w:t>
      </w:r>
    </w:p>
    <w:p>
      <w:r>
        <w:rPr>
          <w:b/>
        </w:rPr>
        <w:t>For an actively exploited vulnerability, include:</w:t>
      </w:r>
    </w:p>
    <w:p>
      <w:pPr>
        <w:pStyle w:val="ListBullet"/>
        <w:spacing w:after="60"/>
      </w:pPr>
      <w:r>
        <w:rPr/>
        <w:t>that we have become aware of an actively exploited vulnerability in our product, and which product;</w:t>
      </w:r>
    </w:p>
    <w:p>
      <w:pPr>
        <w:pStyle w:val="ListBullet"/>
        <w:spacing w:after="60"/>
      </w:pPr>
      <w:r>
        <w:rPr/>
        <w:t>where known, the EU countries in which the product has been made available.</w:t>
      </w:r>
    </w:p>
    <w:p>
      <w:r>
        <w:rPr>
          <w:b/>
        </w:rPr>
        <w:t>For a severe incident, include:</w:t>
      </w:r>
    </w:p>
    <w:p>
      <w:pPr>
        <w:pStyle w:val="ListBullet"/>
        <w:spacing w:after="60"/>
      </w:pPr>
      <w:r>
        <w:rPr/>
        <w:t>that a severe incident affects the security of our product, and which product;</w:t>
      </w:r>
    </w:p>
    <w:p>
      <w:pPr>
        <w:pStyle w:val="ListBullet"/>
        <w:spacing w:after="60"/>
      </w:pPr>
      <w:r>
        <w:rPr/>
        <w:t>whether we suspect it was caused by unlawful or malicious acts;</w:t>
      </w:r>
    </w:p>
    <w:p>
      <w:pPr>
        <w:pStyle w:val="ListBullet"/>
        <w:spacing w:after="60"/>
      </w:pPr>
      <w:r>
        <w:rPr/>
        <w:t>where known, the EU countries in which the product has been made available.</w:t>
      </w:r>
    </w:p>
    <w:p>
      <w:pPr>
        <w:pStyle w:val="Heading2"/>
      </w:pPr>
      <w:r>
        <w:rPr/>
        <w:t>Step 4: Notification (within 72 hours)</w:t>
      </w:r>
    </w:p>
    <w:p>
      <w:r>
        <w:rPr/>
        <w:t>Unless we have already sent this information, submit a notification with:</w:t>
      </w:r>
    </w:p>
    <w:p>
      <w:pPr>
        <w:pStyle w:val="ListBullet"/>
        <w:spacing w:after="60"/>
      </w:pPr>
      <w:r>
        <w:rPr/>
        <w:t>general information about the product concerned;</w:t>
      </w:r>
    </w:p>
    <w:p>
      <w:pPr>
        <w:pStyle w:val="ListBullet"/>
        <w:spacing w:after="60"/>
      </w:pPr>
      <w:r>
        <w:rPr/>
        <w:t>for a vulnerability: the general nature of the exploit and of the vulnerability;</w:t>
      </w:r>
    </w:p>
    <w:p>
      <w:pPr>
        <w:pStyle w:val="ListBullet"/>
        <w:spacing w:after="60"/>
      </w:pPr>
      <w:r>
        <w:rPr/>
        <w:t>for an incident: the nature of the incident and our first assessment of it;</w:t>
      </w:r>
    </w:p>
    <w:p>
      <w:pPr>
        <w:pStyle w:val="ListBullet"/>
        <w:spacing w:after="60"/>
      </w:pPr>
      <w:r>
        <w:rPr/>
        <w:t>what we have already done to correct or reduce the problem;</w:t>
      </w:r>
    </w:p>
    <w:p>
      <w:pPr>
        <w:pStyle w:val="ListBullet"/>
        <w:spacing w:after="60"/>
      </w:pPr>
      <w:r>
        <w:rPr/>
        <w:t>what users can do to protect themselves;</w:t>
      </w:r>
    </w:p>
    <w:p>
      <w:pPr>
        <w:pStyle w:val="ListBullet"/>
        <w:spacing w:after="60"/>
      </w:pPr>
      <w:r>
        <w:rPr/>
        <w:t>how sensitive we consider the information to be (for example, if details would help attackers).</w:t>
      </w:r>
    </w:p>
    <w:p>
      <w:pPr>
        <w:pStyle w:val="Heading2"/>
      </w:pPr>
      <w:r>
        <w:rPr/>
        <w:t>Step 5: Tell the users</w:t>
      </w:r>
    </w:p>
    <w:p>
      <w:r>
        <w:rPr/>
        <w:t>After an actively exploited vulnerability or a severe incident, we must inform the affected users, and all users where appropriate, about the problem and what they can do about it. Use a structured, machine-readable format (for example a CSAF security advisory) as well as a plain-language notice by email, in the app and on the website.</w:t>
      </w:r>
    </w:p>
    <w:p>
      <w:r>
        <w:rPr/>
        <w:t>The communications lead drafts the notice, the incident lead checks the facts, and management approves it. Use the template below.</w:t>
      </w:r>
    </w:p>
    <w:p>
      <w:pPr>
        <w:pStyle w:val="Heading2"/>
      </w:pPr>
      <w:r>
        <w:rPr/>
        <w:t>Step 6: Fix, and keep the authorities informed</w:t>
      </w:r>
    </w:p>
    <w:p>
      <w:pPr>
        <w:pStyle w:val="ListBullet"/>
        <w:spacing w:after="60"/>
      </w:pPr>
      <w:r>
        <w:rPr/>
        <w:t>Develop, test and release the fix or workaround as fast as the risk requires. Security updates are free of charge.</w:t>
      </w:r>
    </w:p>
    <w:p>
      <w:pPr>
        <w:pStyle w:val="ListBullet"/>
        <w:spacing w:after="60"/>
      </w:pPr>
      <w:r>
        <w:rPr/>
        <w:t>If the CSIRT asks for an intermediate report, send one with what has changed.</w:t>
      </w:r>
    </w:p>
    <w:p>
      <w:pPr>
        <w:pStyle w:val="ListBullet"/>
        <w:spacing w:after="60"/>
      </w:pPr>
      <w:r>
        <w:rPr/>
        <w:t>If the vulnerability is in a third-party component, also report it to whoever maintains that component and share our fix if appropriate.</w:t>
      </w:r>
    </w:p>
    <w:p>
      <w:pPr>
        <w:pStyle w:val="Heading2"/>
      </w:pPr>
      <w:r>
        <w:rPr/>
        <w:t>Step 7: Final report</w:t>
      </w:r>
    </w:p>
    <w:p>
      <w:r>
        <w:rPr>
          <w:b/>
        </w:rPr>
        <w:t>Actively exploited vulnerability: no later than 14 days after a fix or workaround is available.</w:t>
      </w:r>
      <w:r>
        <w:rPr/>
        <w:t xml:space="preserve"> Include:</w:t>
      </w:r>
    </w:p>
    <w:p>
      <w:pPr>
        <w:pStyle w:val="ListBullet"/>
        <w:spacing w:after="60"/>
      </w:pPr>
      <w:r>
        <w:rPr/>
        <w:t>a description of the vulnerability, including how severe it is and its impact;</w:t>
      </w:r>
    </w:p>
    <w:p>
      <w:pPr>
        <w:pStyle w:val="ListBullet"/>
        <w:spacing w:after="60"/>
      </w:pPr>
      <w:r>
        <w:rPr/>
        <w:t>where available, information about who exploited or is exploiting it;</w:t>
      </w:r>
    </w:p>
    <w:p>
      <w:pPr>
        <w:pStyle w:val="ListBullet"/>
        <w:spacing w:after="60"/>
      </w:pPr>
      <w:r>
        <w:rPr/>
        <w:t>details of the security update or other measures we made available to fix it.</w:t>
      </w:r>
    </w:p>
    <w:p>
      <w:r>
        <w:rPr>
          <w:b/>
        </w:rPr>
        <w:t>Severe incident: within one month after the notification in step 4.</w:t>
      </w:r>
      <w:r>
        <w:rPr/>
        <w:t xml:space="preserve"> Include:</w:t>
      </w:r>
    </w:p>
    <w:p>
      <w:pPr>
        <w:pStyle w:val="ListBullet"/>
        <w:spacing w:after="60"/>
      </w:pPr>
      <w:r>
        <w:rPr/>
        <w:t>a detailed description of the incident, including how severe it was and its impact;</w:t>
      </w:r>
    </w:p>
    <w:p>
      <w:pPr>
        <w:pStyle w:val="ListBullet"/>
        <w:spacing w:after="60"/>
      </w:pPr>
      <w:r>
        <w:rPr/>
        <w:t>the type of threat or the root cause that probably triggered it;</w:t>
      </w:r>
    </w:p>
    <w:p>
      <w:pPr>
        <w:pStyle w:val="ListBullet"/>
        <w:spacing w:after="60"/>
      </w:pPr>
      <w:r>
        <w:rPr/>
        <w:t>the measures we have applied and those still in progress.</w:t>
      </w:r>
    </w:p>
    <w:p>
      <w:pPr>
        <w:pStyle w:val="Heading2"/>
      </w:pPr>
      <w:r>
        <w:rPr/>
        <w:t>Step 8: Close and learn</w:t>
      </w:r>
    </w:p>
    <w:p>
      <w:pPr>
        <w:pStyle w:val="ListBullet"/>
        <w:spacing w:after="60"/>
      </w:pPr>
      <w:r>
        <w:rPr/>
        <w:t>Hold a short review within two weeks: what happened, what worked, what to change.</w:t>
      </w:r>
    </w:p>
    <w:p>
      <w:pPr>
        <w:pStyle w:val="ListBullet"/>
        <w:spacing w:after="60"/>
      </w:pPr>
      <w:r>
        <w:rPr/>
        <w:t>Update the risk assessment, the SBOM, this runbook and the user documentation.</w:t>
      </w:r>
    </w:p>
    <w:p>
      <w:pPr>
        <w:pStyle w:val="ListBullet"/>
        <w:spacing w:after="60"/>
      </w:pPr>
      <w:r>
        <w:rPr/>
        <w:t>Publish the security advisory if it is not out yet.</w:t>
      </w:r>
    </w:p>
    <w:p>
      <w:pPr>
        <w:pStyle w:val="ListBullet"/>
        <w:spacing w:after="60"/>
      </w:pPr>
      <w:r>
        <w:rPr/>
        <w:t>Consider voluntary reports to the CSIRT or ENISA about near misses or threats that did not need a mandatory report.</w:t>
      </w:r>
    </w:p>
    <w:p>
      <w:pPr>
        <w:pStyle w:val="Heading2"/>
      </w:pPr>
      <w:r>
        <w:rPr/>
        <w:t>Templates</w:t>
      </w:r>
    </w:p>
    <w:p>
      <w:pPr>
        <w:pStyle w:val="Heading3"/>
      </w:pPr>
      <w:r>
        <w:rPr/>
        <w:t>Early warning (copy and adapt)</w:t>
      </w:r>
    </w:p>
    <w:p>
      <w:pPr>
        <w:spacing w:after="0"/>
        <w:ind w:left="227"/>
        <w:shd w:val="clear" w:color="auto" w:fill="F2F2F2"/>
      </w:pPr>
      <w:r>
        <w:rPr>
          <w:rFonts w:ascii="Courier New" w:hAnsi="Courier New"/>
          <w:sz w:val="18"/>
        </w:rPr>
        <w:t>Subject: Early warning - actively exploited vulnerability / severe incident - [Company legal name]</w:t>
      </w:r>
    </w:p>
    <w:p>
      <w:pPr>
        <w:spacing w:after="0"/>
        <w:ind w:left="227"/>
        <w:shd w:val="clear" w:color="auto" w:fill="F2F2F2"/>
      </w:pPr>
      <w:r>
        <w:rPr>
          <w:rFonts w:ascii="Courier New" w:hAnsi="Courier New"/>
          <w:sz w:val="18"/>
        </w:rPr>
        <w:t xml:space="preserve"> </w:t>
      </w:r>
    </w:p>
    <w:p>
      <w:pPr>
        <w:spacing w:after="0"/>
        <w:ind w:left="227"/>
        <w:shd w:val="clear" w:color="auto" w:fill="F2F2F2"/>
      </w:pPr>
      <w:r>
        <w:rPr>
          <w:rFonts w:ascii="Courier New" w:hAnsi="Courier New"/>
          <w:sz w:val="18"/>
        </w:rPr>
        <w:t>Manufacturer: [Company legal name], [Postal address]</w:t>
      </w:r>
    </w:p>
    <w:p>
      <w:pPr>
        <w:spacing w:after="0"/>
        <w:ind w:left="227"/>
        <w:shd w:val="clear" w:color="auto" w:fill="F2F2F2"/>
      </w:pPr>
      <w:r>
        <w:rPr>
          <w:rFonts w:ascii="Courier New" w:hAnsi="Courier New"/>
          <w:sz w:val="18"/>
        </w:rPr>
        <w:t>Contact: [incident lead name, phone, email]</w:t>
      </w:r>
    </w:p>
    <w:p>
      <w:pPr>
        <w:spacing w:after="0"/>
        <w:ind w:left="227"/>
        <w:shd w:val="clear" w:color="auto" w:fill="F2F2F2"/>
      </w:pPr>
      <w:r>
        <w:rPr>
          <w:rFonts w:ascii="Courier New" w:hAnsi="Courier New"/>
          <w:sz w:val="18"/>
        </w:rPr>
        <w:t>Product: [product name, model, affected versions]</w:t>
      </w:r>
    </w:p>
    <w:p>
      <w:pPr>
        <w:spacing w:after="0"/>
        <w:ind w:left="227"/>
        <w:shd w:val="clear" w:color="auto" w:fill="F2F2F2"/>
      </w:pPr>
      <w:r>
        <w:rPr>
          <w:rFonts w:ascii="Courier New" w:hAnsi="Courier New"/>
          <w:sz w:val="18"/>
        </w:rPr>
        <w:t>What we know: [one or two sentences]</w:t>
      </w:r>
    </w:p>
    <w:p>
      <w:pPr>
        <w:spacing w:after="0"/>
        <w:ind w:left="227"/>
        <w:shd w:val="clear" w:color="auto" w:fill="F2F2F2"/>
      </w:pPr>
      <w:r>
        <w:rPr>
          <w:rFonts w:ascii="Courier New" w:hAnsi="Courier New"/>
          <w:sz w:val="18"/>
        </w:rPr>
        <w:t>Suspected malicious act (incidents only): [yes / no / unknown]</w:t>
      </w:r>
    </w:p>
    <w:p>
      <w:pPr>
        <w:spacing w:after="0"/>
        <w:ind w:left="227"/>
        <w:shd w:val="clear" w:color="auto" w:fill="F2F2F2"/>
      </w:pPr>
      <w:r>
        <w:rPr>
          <w:rFonts w:ascii="Courier New" w:hAnsi="Courier New"/>
          <w:sz w:val="18"/>
        </w:rPr>
        <w:t>EU countries where the product is available: [EU countries where the product is sold]</w:t>
      </w:r>
    </w:p>
    <w:p>
      <w:pPr>
        <w:spacing w:after="0"/>
        <w:ind w:left="227"/>
        <w:shd w:val="clear" w:color="auto" w:fill="F2F2F2"/>
      </w:pPr>
      <w:r>
        <w:rPr>
          <w:rFonts w:ascii="Courier New" w:hAnsi="Courier New"/>
          <w:sz w:val="18"/>
        </w:rPr>
        <w:t>Time we became aware: [date, time, time zone]</w:t>
      </w:r>
    </w:p>
    <w:p>
      <w:pPr>
        <w:spacing w:after="40"/>
      </w:pPr>
    </w:p>
    <w:p>
      <w:pPr>
        <w:pStyle w:val="Heading3"/>
      </w:pPr>
      <w:r>
        <w:rPr/>
        <w:t>User notice (copy and adapt)</w:t>
      </w:r>
    </w:p>
    <w:p>
      <w:pPr>
        <w:spacing w:after="0"/>
        <w:ind w:left="227"/>
        <w:shd w:val="clear" w:color="auto" w:fill="F2F2F2"/>
      </w:pPr>
      <w:r>
        <w:rPr>
          <w:rFonts w:ascii="Courier New" w:hAnsi="Courier New"/>
          <w:sz w:val="18"/>
        </w:rPr>
        <w:t>Subject: Security update for [product] - please [update / take action]</w:t>
      </w:r>
    </w:p>
    <w:p>
      <w:pPr>
        <w:spacing w:after="0"/>
        <w:ind w:left="227"/>
        <w:shd w:val="clear" w:color="auto" w:fill="F2F2F2"/>
      </w:pPr>
      <w:r>
        <w:rPr>
          <w:rFonts w:ascii="Courier New" w:hAnsi="Courier New"/>
          <w:sz w:val="18"/>
        </w:rPr>
        <w:t xml:space="preserve"> </w:t>
      </w:r>
    </w:p>
    <w:p>
      <w:pPr>
        <w:spacing w:after="0"/>
        <w:ind w:left="227"/>
        <w:shd w:val="clear" w:color="auto" w:fill="F2F2F2"/>
      </w:pPr>
      <w:r>
        <w:rPr>
          <w:rFonts w:ascii="Courier New" w:hAnsi="Courier New"/>
          <w:sz w:val="18"/>
        </w:rPr>
        <w:t>We have found [a security problem / an incident] affecting [product, versions].</w:t>
      </w:r>
    </w:p>
    <w:p>
      <w:pPr>
        <w:spacing w:after="0"/>
        <w:ind w:left="227"/>
        <w:shd w:val="clear" w:color="auto" w:fill="F2F2F2"/>
      </w:pPr>
      <w:r>
        <w:rPr>
          <w:rFonts w:ascii="Courier New" w:hAnsi="Courier New"/>
          <w:sz w:val="18"/>
        </w:rPr>
        <w:t>What it means for you: [plain-language impact].</w:t>
      </w:r>
    </w:p>
    <w:p>
      <w:pPr>
        <w:spacing w:after="0"/>
        <w:ind w:left="227"/>
        <w:shd w:val="clear" w:color="auto" w:fill="F2F2F2"/>
      </w:pPr>
      <w:r>
        <w:rPr>
          <w:rFonts w:ascii="Courier New" w:hAnsi="Courier New"/>
          <w:sz w:val="18"/>
        </w:rPr>
        <w:t>What we have done: [fix, workaround, investigation].</w:t>
      </w:r>
    </w:p>
    <w:p>
      <w:pPr>
        <w:spacing w:after="0"/>
        <w:ind w:left="227"/>
        <w:shd w:val="clear" w:color="auto" w:fill="F2F2F2"/>
      </w:pPr>
      <w:r>
        <w:rPr>
          <w:rFonts w:ascii="Courier New" w:hAnsi="Courier New"/>
          <w:sz w:val="18"/>
        </w:rPr>
        <w:t>What you should do: [update to version X / change setting Y / nothing for now].</w:t>
      </w:r>
    </w:p>
    <w:p>
      <w:pPr>
        <w:spacing w:after="0"/>
        <w:ind w:left="227"/>
        <w:shd w:val="clear" w:color="auto" w:fill="F2F2F2"/>
      </w:pPr>
      <w:r>
        <w:rPr>
          <w:rFonts w:ascii="Courier New" w:hAnsi="Courier New"/>
          <w:sz w:val="18"/>
        </w:rPr>
        <w:t>How to check your version: [where to look].</w:t>
      </w:r>
    </w:p>
    <w:p>
      <w:pPr>
        <w:spacing w:after="0"/>
        <w:ind w:left="227"/>
        <w:shd w:val="clear" w:color="auto" w:fill="F2F2F2"/>
      </w:pPr>
      <w:r>
        <w:rPr>
          <w:rFonts w:ascii="Courier New" w:hAnsi="Courier New"/>
          <w:sz w:val="18"/>
        </w:rPr>
        <w:t>More information: [link to the advisory]. Questions: security@company.example</w:t>
      </w:r>
    </w:p>
    <w:p>
      <w:pPr>
        <w:spacing w:after="40"/>
      </w:pPr>
    </w:p>
    <w:p>
      <w:pPr>
        <w:pStyle w:val="Heading3"/>
      </w:pPr>
      <w:r>
        <w:rPr/>
        <w:t>Reply to a researcher (copy and adapt)</w:t>
      </w:r>
    </w:p>
    <w:p>
      <w:pPr>
        <w:spacing w:after="0"/>
        <w:ind w:left="227"/>
        <w:shd w:val="clear" w:color="auto" w:fill="F2F2F2"/>
      </w:pPr>
      <w:r>
        <w:rPr>
          <w:rFonts w:ascii="Courier New" w:hAnsi="Courier New"/>
          <w:sz w:val="18"/>
        </w:rPr>
        <w:t>Thank you for your report about [product]. Our reference is [number].</w:t>
      </w:r>
    </w:p>
    <w:p>
      <w:pPr>
        <w:spacing w:after="0"/>
        <w:ind w:left="227"/>
        <w:shd w:val="clear" w:color="auto" w:fill="F2F2F2"/>
      </w:pPr>
      <w:r>
        <w:rPr>
          <w:rFonts w:ascii="Courier New" w:hAnsi="Courier New"/>
          <w:sz w:val="18"/>
        </w:rPr>
        <w:t>We will send our first assessment within 10 working days</w:t>
      </w:r>
    </w:p>
    <w:p>
      <w:pPr>
        <w:spacing w:after="0"/>
        <w:ind w:left="227"/>
        <w:shd w:val="clear" w:color="auto" w:fill="F2F2F2"/>
      </w:pPr>
      <w:r>
        <w:rPr>
          <w:rFonts w:ascii="Courier New" w:hAnsi="Courier New"/>
          <w:sz w:val="18"/>
        </w:rPr>
        <w:t>and keep you updated at least every 14 days.</w:t>
      </w:r>
    </w:p>
    <w:p>
      <w:pPr>
        <w:spacing w:after="0"/>
        <w:ind w:left="227"/>
        <w:shd w:val="clear" w:color="auto" w:fill="F2F2F2"/>
      </w:pPr>
      <w:r>
        <w:rPr>
          <w:rFonts w:ascii="Courier New" w:hAnsi="Courier New"/>
          <w:sz w:val="18"/>
        </w:rPr>
        <w:t>Please keep the details private while we work on a fix.</w:t>
      </w:r>
    </w:p>
    <w:p>
      <w:pPr>
        <w:spacing w:after="40"/>
      </w:pPr>
    </w:p>
    <w:p>
      <w:pPr>
        <w:pStyle w:val="Heading2"/>
      </w:pPr>
      <w:r>
        <w:rPr/>
        <w:t>Incident log</w:t>
      </w:r>
    </w:p>
    <w:tbl>
      <w:tblPr>
        <w:tblStyle w:val="TableGrid"/>
        <w:tblW w:type="auto" w:w="0"/>
        <w:tblLayout w:type="fixed"/>
        <w:tblLook w:firstColumn="1" w:firstRow="1" w:lastColumn="0" w:lastRow="0" w:noHBand="0" w:noVBand="1" w:val="04A0"/>
      </w:tblPr>
      <w:tblGrid>
        <w:gridCol w:w="2292"/>
        <w:gridCol w:w="2527"/>
        <w:gridCol w:w="2292"/>
        <w:gridCol w:w="2527"/>
      </w:tblGrid>
      <w:tr>
        <w:trPr>
          <w:tblHeader w:val="true"/>
        </w:trPr>
        <w:tc>
          <w:tcPr>
            <w:tcW w:type="dxa" w:w="2292"/>
            <w:shd w:val="clear" w:color="auto" w:fill="D9E2F3"/>
          </w:tcPr>
          <w:p>
            <w:pPr>
              <w:spacing w:after="0"/>
            </w:pPr>
            <w:r>
              <w:rPr>
                <w:b/>
                <w:sz w:val="18"/>
              </w:rPr>
              <w:t>Date and time</w:t>
            </w:r>
          </w:p>
        </w:tc>
        <w:tc>
          <w:tcPr>
            <w:tcW w:type="dxa" w:w="2527"/>
            <w:shd w:val="clear" w:color="auto" w:fill="D9E2F3"/>
          </w:tcPr>
          <w:p>
            <w:pPr>
              <w:spacing w:after="0"/>
            </w:pPr>
            <w:r>
              <w:rPr>
                <w:b/>
                <w:sz w:val="18"/>
              </w:rPr>
              <w:t>What happened or was decided</w:t>
            </w:r>
          </w:p>
        </w:tc>
        <w:tc>
          <w:tcPr>
            <w:tcW w:type="dxa" w:w="2292"/>
            <w:shd w:val="clear" w:color="auto" w:fill="D9E2F3"/>
          </w:tcPr>
          <w:p>
            <w:pPr>
              <w:spacing w:after="0"/>
            </w:pPr>
            <w:r>
              <w:rPr>
                <w:b/>
                <w:sz w:val="18"/>
              </w:rPr>
              <w:t>Who</w:t>
            </w:r>
          </w:p>
        </w:tc>
        <w:tc>
          <w:tcPr>
            <w:tcW w:type="dxa" w:w="2527"/>
            <w:shd w:val="clear" w:color="auto" w:fill="D9E2F3"/>
          </w:tcPr>
          <w:p>
            <w:pPr>
              <w:spacing w:after="0"/>
            </w:pPr>
            <w:r>
              <w:rPr>
                <w:b/>
                <w:sz w:val="18"/>
              </w:rPr>
              <w:t>Evidence or link</w:t>
            </w:r>
          </w:p>
        </w:tc>
      </w:tr>
      <w:tr>
        <w:tc>
          <w:tcPr>
            <w:tcW w:type="dxa" w:w="2292"/>
          </w:tcPr>
          <w:p>
            <w:pPr>
              <w:spacing w:after="0"/>
            </w:pPr>
          </w:p>
        </w:tc>
        <w:tc>
          <w:tcPr>
            <w:tcW w:type="dxa" w:w="2527"/>
          </w:tcPr>
          <w:p>
            <w:pPr>
              <w:spacing w:after="0"/>
            </w:pPr>
          </w:p>
        </w:tc>
        <w:tc>
          <w:tcPr>
            <w:tcW w:type="dxa" w:w="2292"/>
          </w:tcPr>
          <w:p>
            <w:pPr>
              <w:spacing w:after="0"/>
            </w:pPr>
          </w:p>
        </w:tc>
        <w:tc>
          <w:tcPr>
            <w:tcW w:type="dxa" w:w="2527"/>
          </w:tcPr>
          <w:p>
            <w:pPr>
              <w:spacing w:after="0"/>
            </w:pPr>
          </w:p>
        </w:tc>
      </w:tr>
      <w:tr>
        <w:tc>
          <w:tcPr>
            <w:tcW w:type="dxa" w:w="2292"/>
          </w:tcPr>
          <w:p>
            <w:pPr>
              <w:spacing w:after="0"/>
            </w:pPr>
          </w:p>
        </w:tc>
        <w:tc>
          <w:tcPr>
            <w:tcW w:type="dxa" w:w="2527"/>
          </w:tcPr>
          <w:p>
            <w:pPr>
              <w:spacing w:after="0"/>
            </w:pPr>
          </w:p>
        </w:tc>
        <w:tc>
          <w:tcPr>
            <w:tcW w:type="dxa" w:w="2292"/>
          </w:tcPr>
          <w:p>
            <w:pPr>
              <w:spacing w:after="0"/>
            </w:pPr>
          </w:p>
        </w:tc>
        <w:tc>
          <w:tcPr>
            <w:tcW w:type="dxa" w:w="2527"/>
          </w:tcPr>
          <w:p>
            <w:pPr>
              <w:spacing w:after="0"/>
            </w:pPr>
          </w:p>
        </w:tc>
      </w:tr>
      <w:tr>
        <w:tc>
          <w:tcPr>
            <w:tcW w:type="dxa" w:w="2292"/>
          </w:tcPr>
          <w:p>
            <w:pPr>
              <w:spacing w:after="0"/>
            </w:pPr>
          </w:p>
        </w:tc>
        <w:tc>
          <w:tcPr>
            <w:tcW w:type="dxa" w:w="2527"/>
          </w:tcPr>
          <w:p>
            <w:pPr>
              <w:spacing w:after="0"/>
            </w:pPr>
          </w:p>
        </w:tc>
        <w:tc>
          <w:tcPr>
            <w:tcW w:type="dxa" w:w="2292"/>
          </w:tcPr>
          <w:p>
            <w:pPr>
              <w:spacing w:after="0"/>
            </w:pPr>
          </w:p>
        </w:tc>
        <w:tc>
          <w:tcPr>
            <w:tcW w:type="dxa" w:w="2527"/>
          </w:tcPr>
          <w:p>
            <w:pPr>
              <w:spacing w:after="0"/>
            </w:pPr>
          </w:p>
        </w:tc>
      </w:tr>
    </w:tbl>
    <w:p>
      <w:pPr>
        <w:spacing w:after="40"/>
      </w:pPr>
    </w:p>
    <w:p>
      <w:r>
        <w:rPr/>
        <w:t>[Company legal name] · Runbook version 1.0 · Verify current dates and requirements before each use.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[Company legal name]  |  Vulnerability and incident reporting runbook  |  Version 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