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8" w:space="4" w:color="8EA9DB"/>
        </w:pBdr>
      </w:pPr>
      <w:r>
        <w:rPr/>
        <w:t>Vulnerability handling and coordinated disclosure policy</w:t>
      </w:r>
    </w:p>
    <w:p>
      <w:r>
        <w:rPr>
          <w:b/>
        </w:rPr>
        <w:t>[Company legal name]</w:t>
      </w:r>
      <w:r>
        <w:rPr/>
        <w:t xml:space="preserve"> · Version 1.0 · Effective from [YYYY-MM-DD]</w:t>
      </w:r>
    </w:p>
    <w:p>
      <w:pPr>
        <w:ind w:left="283" w:right="283"/>
        <w:shd w:val="clear" w:color="auto" w:fill="EAF1FB"/>
        <w:pBdr>
          <w:left w:val="single" w:sz="18" w:space="4" w:color="2F5597"/>
        </w:pBdr>
      </w:pPr>
      <w:r>
        <w:rPr>
          <w:b/>
        </w:rPr>
        <w:t>Draft for review.</w:t>
      </w:r>
      <w:r>
        <w:rPr/>
        <w:t xml:space="preserve"> Prepared on 7 October 2026 by [Your name], [Your business]. Ask your lawyer to read it before you publish it, especially section 6 (Safe harbour). Delete this box when the policy is final.</w:t>
      </w:r>
    </w:p>
    <w:p>
      <w:pPr>
        <w:pStyle w:val="Heading2"/>
      </w:pPr>
      <w:r>
        <w:rPr/>
        <w:t>1. Why we have this policy</w:t>
      </w:r>
    </w:p>
    <w:p>
      <w:r>
        <w:rPr/>
        <w:t>We want our products to be safe to use. If you find a security problem in one of our products, we want to hear about it, so that we can fix it and tell the people who use the product. This policy explains how to report a vulnerability to us, what happens next, and how we handle vulnerabilities in our products and in the components they are built from.</w:t>
      </w:r>
    </w:p>
    <w:p>
      <w:pPr>
        <w:pStyle w:val="Heading2"/>
      </w:pPr>
      <w:r>
        <w:rPr/>
        <w:t>2. Products covered</w:t>
      </w:r>
    </w:p>
    <w:tbl>
      <w:tblPr>
        <w:tblStyle w:val="TableGrid"/>
        <w:tblW w:type="auto" w:w="0"/>
        <w:tblLayout w:type="fixed"/>
        <w:tblLook w:firstColumn="1" w:firstRow="1" w:lastColumn="0" w:lastRow="0" w:noHBand="0" w:noVBand="1" w:val="04A0"/>
      </w:tblPr>
      <w:tblGrid>
        <w:gridCol w:w="1544"/>
        <w:gridCol w:w="2151"/>
        <w:gridCol w:w="4213"/>
        <w:gridCol w:w="1729"/>
      </w:tblGrid>
      <w:tr>
        <w:trPr>
          <w:tblHeader w:val="true"/>
        </w:trPr>
        <w:tc>
          <w:tcPr>
            <w:tcW w:type="dxa" w:w="1544"/>
            <w:shd w:val="clear" w:color="auto" w:fill="D9E2F3"/>
          </w:tcPr>
          <w:p>
            <w:pPr>
              <w:spacing w:after="0"/>
            </w:pPr>
            <w:r>
              <w:rPr>
                <w:b/>
                <w:sz w:val="18"/>
              </w:rPr>
              <w:t>Product</w:t>
            </w:r>
          </w:p>
        </w:tc>
        <w:tc>
          <w:tcPr>
            <w:tcW w:type="dxa" w:w="2151"/>
            <w:shd w:val="clear" w:color="auto" w:fill="D9E2F3"/>
          </w:tcPr>
          <w:p>
            <w:pPr>
              <w:spacing w:after="0"/>
            </w:pPr>
            <w:r>
              <w:rPr>
                <w:b/>
                <w:sz w:val="18"/>
              </w:rPr>
              <w:t>Model</w:t>
            </w:r>
          </w:p>
        </w:tc>
        <w:tc>
          <w:tcPr>
            <w:tcW w:type="dxa" w:w="4213"/>
            <w:shd w:val="clear" w:color="auto" w:fill="D9E2F3"/>
          </w:tcPr>
          <w:p>
            <w:pPr>
              <w:spacing w:after="0"/>
            </w:pPr>
            <w:r>
              <w:rPr>
                <w:b/>
                <w:sz w:val="18"/>
              </w:rPr>
              <w:t>Parts covered</w:t>
            </w:r>
          </w:p>
        </w:tc>
        <w:tc>
          <w:tcPr>
            <w:tcW w:type="dxa" w:w="1729"/>
            <w:shd w:val="clear" w:color="auto" w:fill="D9E2F3"/>
          </w:tcPr>
          <w:p>
            <w:pPr>
              <w:spacing w:after="0"/>
            </w:pPr>
            <w:r>
              <w:rPr>
                <w:b/>
                <w:sz w:val="18"/>
              </w:rPr>
              <w:t>Security updates until</w:t>
            </w:r>
          </w:p>
        </w:tc>
      </w:tr>
      <w:tr>
        <w:tc>
          <w:tcPr>
            <w:tcW w:type="dxa" w:w="1544"/>
          </w:tcPr>
          <w:p>
            <w:pPr>
              <w:spacing w:after="0"/>
            </w:pPr>
            <w:r>
              <w:rPr>
                <w:sz w:val="18"/>
              </w:rPr>
              <w:t>[Product name]</w:t>
            </w:r>
          </w:p>
        </w:tc>
        <w:tc>
          <w:tcPr>
            <w:tcW w:type="dxa" w:w="2151"/>
          </w:tcPr>
          <w:p>
            <w:pPr>
              <w:spacing w:after="0"/>
            </w:pPr>
            <w:r>
              <w:rPr>
                <w:sz w:val="18"/>
              </w:rPr>
              <w:t>[Model or type number]</w:t>
            </w:r>
          </w:p>
        </w:tc>
        <w:tc>
          <w:tcPr>
            <w:tcW w:type="dxa" w:w="4213"/>
          </w:tcPr>
          <w:p>
            <w:pPr>
              <w:spacing w:after="0"/>
            </w:pPr>
            <w:r>
              <w:rPr>
                <w:sz w:val="18"/>
              </w:rPr>
              <w:t>[Firmware name and version], [App name and version], [Cloud service name]</w:t>
            </w:r>
          </w:p>
        </w:tc>
        <w:tc>
          <w:tcPr>
            <w:tcW w:type="dxa" w:w="1729"/>
          </w:tcPr>
          <w:p>
            <w:pPr>
              <w:spacing w:after="0"/>
            </w:pPr>
            <w:r>
              <w:rPr>
                <w:sz w:val="18"/>
              </w:rPr>
              <w:t>end of [YYYY-MM]</w:t>
            </w:r>
          </w:p>
        </w:tc>
      </w:tr>
    </w:tbl>
    <w:p>
      <w:pPr>
        <w:spacing w:after="40"/>
      </w:pPr>
    </w:p>
    <w:p>
      <w:r>
        <w:rPr/>
        <w:t>Websites and online services are covered when a product above needs them to work, for example the cloud service a device talks to.</w:t>
      </w:r>
    </w:p>
    <w:p>
      <w:pPr>
        <w:pStyle w:val="Heading2"/>
      </w:pPr>
      <w:r>
        <w:rPr/>
        <w:t>3. How to report a vulnerability</w:t>
      </w:r>
    </w:p>
    <w:p>
      <w:pPr>
        <w:pStyle w:val="ListBullet"/>
        <w:spacing w:after="60"/>
      </w:pPr>
      <w:r>
        <w:rPr>
          <w:b/>
        </w:rPr>
        <w:t>Email:</w:t>
      </w:r>
      <w:r>
        <w:rPr/>
        <w:t xml:space="preserve"> </w:t>
      </w:r>
      <w:hyperlink r:id="rId10">
        <w:r>
          <w:rPr>
            <w:rFonts w:ascii="Arial" w:hAnsi="Arial"/>
            <w:color w:val="0563C1"/>
            <w:u w:val="single"/>
          </w:rPr>
          <w:t xml:space="preserve">security@company.example</w:t>
        </w:r>
      </w:hyperlink>
    </w:p>
    <w:p>
      <w:pPr>
        <w:pStyle w:val="ListBullet"/>
        <w:spacing w:after="60"/>
      </w:pPr>
      <w:r>
        <w:rPr>
          <w:b/>
        </w:rPr>
        <w:t>Languages:</w:t>
      </w:r>
      <w:r>
        <w:rPr/>
        <w:t xml:space="preserve"> we can handle reports in English.</w:t>
      </w:r>
    </w:p>
    <w:p>
      <w:pPr>
        <w:pStyle w:val="ListBullet"/>
        <w:spacing w:after="60"/>
      </w:pPr>
      <w:r>
        <w:rPr/>
        <w:t xml:space="preserve">Our security contact details are also published in machine-readable form at </w:t>
      </w:r>
      <w:hyperlink r:id="rId11">
        <w:r>
          <w:rPr>
            <w:rFonts w:ascii="Arial" w:hAnsi="Arial"/>
            <w:color w:val="0563C1"/>
            <w:u w:val="single"/>
          </w:rPr>
          <w:t xml:space="preserve">https://company.example/.well-known/security.txt</w:t>
        </w:r>
      </w:hyperlink>
      <w:r>
        <w:rPr/>
        <w:t>.</w:t>
      </w:r>
    </w:p>
    <w:p>
      <w:r>
        <w:rPr/>
        <w:t>Please include as much of the following as you can:</w:t>
      </w:r>
    </w:p>
    <w:p>
      <w:pPr>
        <w:pStyle w:val="ListBullet"/>
        <w:spacing w:after="60"/>
      </w:pPr>
      <w:r>
        <w:rPr/>
        <w:t>the product, model and software or firmware version you tested;</w:t>
      </w:r>
    </w:p>
    <w:p>
      <w:pPr>
        <w:pStyle w:val="ListBullet"/>
        <w:spacing w:after="60"/>
      </w:pPr>
      <w:r>
        <w:rPr/>
        <w:t>what the problem is, and what an attacker could do with it;</w:t>
      </w:r>
    </w:p>
    <w:p>
      <w:pPr>
        <w:pStyle w:val="ListBullet"/>
        <w:spacing w:after="60"/>
      </w:pPr>
      <w:r>
        <w:rPr/>
        <w:t>steps to reproduce it, a proof of concept or screenshots;</w:t>
      </w:r>
    </w:p>
    <w:p>
      <w:pPr>
        <w:pStyle w:val="ListBullet"/>
        <w:spacing w:after="60"/>
      </w:pPr>
      <w:r>
        <w:rPr/>
        <w:t>whether you know of anyone already exploiting it;</w:t>
      </w:r>
    </w:p>
    <w:p>
      <w:pPr>
        <w:pStyle w:val="ListBullet"/>
        <w:spacing w:after="60"/>
      </w:pPr>
      <w:r>
        <w:rPr/>
        <w:t>whether, and how, you would like to be credited.</w:t>
      </w:r>
    </w:p>
    <w:p>
      <w:r>
        <w:rPr/>
        <w:t>A partial report is fine. If you are not sure whether something is a security problem, report it anyway. A person reads every report: we never rely on automated replies alone, and you can choose the contact method that suits you.</w:t>
      </w:r>
    </w:p>
    <w:p>
      <w:pPr>
        <w:pStyle w:val="Heading2"/>
      </w:pPr>
      <w:r>
        <w:rPr/>
        <w:t>4. What happens after you report</w:t>
      </w:r>
    </w:p>
    <w:tbl>
      <w:tblPr>
        <w:tblStyle w:val="TableGrid"/>
        <w:tblW w:type="auto" w:w="0"/>
        <w:tblLayout w:type="fixed"/>
        <w:tblLook w:firstColumn="1" w:firstRow="1" w:lastColumn="0" w:lastRow="0" w:noHBand="0" w:noVBand="1" w:val="04A0"/>
      </w:tblPr>
      <w:tblGrid>
        <w:gridCol w:w="4851"/>
        <w:gridCol w:w="4787"/>
      </w:tblGrid>
      <w:tr>
        <w:trPr>
          <w:tblHeader w:val="true"/>
        </w:trPr>
        <w:tc>
          <w:tcPr>
            <w:tcW w:type="dxa" w:w="4851"/>
            <w:shd w:val="clear" w:color="auto" w:fill="D9E2F3"/>
          </w:tcPr>
          <w:p>
            <w:pPr>
              <w:spacing w:after="0"/>
            </w:pPr>
            <w:r>
              <w:rPr>
                <w:b/>
                <w:sz w:val="18"/>
              </w:rPr>
              <w:t>Step</w:t>
            </w:r>
          </w:p>
        </w:tc>
        <w:tc>
          <w:tcPr>
            <w:tcW w:type="dxa" w:w="4787"/>
            <w:shd w:val="clear" w:color="auto" w:fill="D9E2F3"/>
          </w:tcPr>
          <w:p>
            <w:pPr>
              <w:spacing w:after="0"/>
            </w:pPr>
            <w:r>
              <w:rPr>
                <w:b/>
                <w:sz w:val="18"/>
              </w:rPr>
              <w:t>Our target</w:t>
            </w:r>
          </w:p>
        </w:tc>
      </w:tr>
      <w:tr>
        <w:tc>
          <w:tcPr>
            <w:tcW w:type="dxa" w:w="4851"/>
          </w:tcPr>
          <w:p>
            <w:pPr>
              <w:spacing w:after="0"/>
            </w:pPr>
            <w:r>
              <w:rPr>
                <w:sz w:val="18"/>
              </w:rPr>
              <w:t>We confirm that we received your report</w:t>
            </w:r>
          </w:p>
        </w:tc>
        <w:tc>
          <w:tcPr>
            <w:tcW w:type="dxa" w:w="4787"/>
          </w:tcPr>
          <w:p>
            <w:pPr>
              <w:spacing w:after="0"/>
            </w:pPr>
            <w:r>
              <w:rPr>
                <w:sz w:val="18"/>
              </w:rPr>
              <w:t>within 3 working days</w:t>
            </w:r>
          </w:p>
        </w:tc>
      </w:tr>
      <w:tr>
        <w:tc>
          <w:tcPr>
            <w:tcW w:type="dxa" w:w="4851"/>
          </w:tcPr>
          <w:p>
            <w:pPr>
              <w:spacing w:after="0"/>
            </w:pPr>
            <w:r>
              <w:rPr>
                <w:sz w:val="18"/>
              </w:rPr>
              <w:t>We share our first assessment: is it a vulnerability, and how serious is it?</w:t>
            </w:r>
          </w:p>
        </w:tc>
        <w:tc>
          <w:tcPr>
            <w:tcW w:type="dxa" w:w="4787"/>
          </w:tcPr>
          <w:p>
            <w:pPr>
              <w:spacing w:after="0"/>
            </w:pPr>
            <w:r>
              <w:rPr>
                <w:sz w:val="18"/>
              </w:rPr>
              <w:t>within 10 working days</w:t>
            </w:r>
          </w:p>
        </w:tc>
      </w:tr>
      <w:tr>
        <w:tc>
          <w:tcPr>
            <w:tcW w:type="dxa" w:w="4851"/>
          </w:tcPr>
          <w:p>
            <w:pPr>
              <w:spacing w:after="0"/>
            </w:pPr>
            <w:r>
              <w:rPr>
                <w:sz w:val="18"/>
              </w:rPr>
              <w:t>We keep you updated</w:t>
            </w:r>
          </w:p>
        </w:tc>
        <w:tc>
          <w:tcPr>
            <w:tcW w:type="dxa" w:w="4787"/>
          </w:tcPr>
          <w:p>
            <w:pPr>
              <w:spacing w:after="0"/>
            </w:pPr>
            <w:r>
              <w:rPr>
                <w:sz w:val="18"/>
              </w:rPr>
              <w:t>at least every 14 days until it is fixed</w:t>
            </w:r>
          </w:p>
        </w:tc>
      </w:tr>
      <w:tr>
        <w:tc>
          <w:tcPr>
            <w:tcW w:type="dxa" w:w="4851"/>
          </w:tcPr>
          <w:p>
            <w:pPr>
              <w:spacing w:after="0"/>
            </w:pPr>
            <w:r>
              <w:rPr>
                <w:sz w:val="18"/>
              </w:rPr>
              <w:t>We release a fix or a way to reduce the risk</w:t>
            </w:r>
          </w:p>
        </w:tc>
        <w:tc>
          <w:tcPr>
            <w:tcW w:type="dxa" w:w="4787"/>
          </w:tcPr>
          <w:p>
            <w:pPr>
              <w:spacing w:after="0"/>
            </w:pPr>
            <w:r>
              <w:rPr>
                <w:sz w:val="18"/>
              </w:rPr>
              <w:t>Critical: within 14 days. High: within 30 days. Medium: within 90 days. Low: in a planned release.</w:t>
            </w:r>
          </w:p>
        </w:tc>
      </w:tr>
      <w:tr>
        <w:tc>
          <w:tcPr>
            <w:tcW w:type="dxa" w:w="4851"/>
          </w:tcPr>
          <w:p>
            <w:pPr>
              <w:spacing w:after="0"/>
            </w:pPr>
            <w:r>
              <w:rPr>
                <w:sz w:val="18"/>
              </w:rPr>
              <w:t>We publish an advisory</w:t>
            </w:r>
          </w:p>
        </w:tc>
        <w:tc>
          <w:tcPr>
            <w:tcW w:type="dxa" w:w="4787"/>
          </w:tcPr>
          <w:p>
            <w:pPr>
              <w:spacing w:after="0"/>
            </w:pPr>
            <w:r>
              <w:rPr>
                <w:sz w:val="18"/>
              </w:rPr>
              <w:t>when the fix is available, at a date agreed with you</w:t>
            </w:r>
          </w:p>
        </w:tc>
      </w:tr>
    </w:tbl>
    <w:p>
      <w:pPr>
        <w:spacing w:after="40"/>
      </w:pPr>
    </w:p>
    <w:p>
      <w:r>
        <w:rPr/>
        <w:t>We will agree a publication date with you. Unless we agree otherwise, we aim to publish no later than 90 days after your report, or earlier if the fix is ready. If a vulnerability is being actively exploited, we may need to move faster, and we will tell you.</w:t>
      </w:r>
    </w:p>
    <w:p>
      <w:pPr>
        <w:pStyle w:val="Heading2"/>
      </w:pPr>
      <w:r>
        <w:rPr/>
        <w:t>5. Guidelines for security researchers</w:t>
      </w:r>
    </w:p>
    <w:p>
      <w:r>
        <w:rPr/>
        <w:t>Please:</w:t>
      </w:r>
    </w:p>
    <w:p>
      <w:pPr>
        <w:pStyle w:val="ListBullet"/>
        <w:spacing w:after="60"/>
      </w:pPr>
      <w:r>
        <w:rPr/>
        <w:t>give us a reasonable time to fix the problem before you tell anyone else;</w:t>
      </w:r>
    </w:p>
    <w:p>
      <w:pPr>
        <w:pStyle w:val="ListBullet"/>
        <w:spacing w:after="60"/>
      </w:pPr>
      <w:r>
        <w:rPr/>
        <w:t>only test devices, accounts and data that you own or have permission to test;</w:t>
      </w:r>
    </w:p>
    <w:p>
      <w:pPr>
        <w:pStyle w:val="ListBullet"/>
        <w:spacing w:after="60"/>
      </w:pPr>
      <w:r>
        <w:rPr/>
        <w:t>stop as soon as you have found a vulnerability, and report it;</w:t>
      </w:r>
    </w:p>
    <w:p>
      <w:pPr>
        <w:pStyle w:val="ListBullet"/>
        <w:spacing w:after="60"/>
      </w:pPr>
      <w:r>
        <w:rPr/>
        <w:t>never access, change or delete other people's data. If you see personal data by accident, stop, do not keep it, and tell us;</w:t>
      </w:r>
    </w:p>
    <w:p>
      <w:pPr>
        <w:pStyle w:val="ListBullet"/>
        <w:spacing w:after="60"/>
      </w:pPr>
      <w:r>
        <w:rPr/>
        <w:t>not use denial-of-service attacks, spam, social engineering, or physical attacks against our staff, premises or customers;</w:t>
      </w:r>
    </w:p>
    <w:p>
      <w:pPr>
        <w:pStyle w:val="ListBullet"/>
        <w:spacing w:after="60"/>
      </w:pPr>
      <w:r>
        <w:rPr/>
        <w:t>not ask for payment in exchange for keeping a vulnerability private.</w:t>
      </w:r>
    </w:p>
    <w:p>
      <w:pPr>
        <w:pStyle w:val="Heading2"/>
      </w:pPr>
      <w:r>
        <w:rPr/>
        <w:t>6. Safe harbour</w:t>
      </w:r>
    </w:p>
    <w:p>
      <w:r>
        <w:rPr/>
        <w:t>If you act in good faith and follow this policy, we will not take legal action against you because of your research, and we will not ask anyone else to. If a third party takes legal action against you for research done in line with this policy, we will make it known that you followed it. This does not cover research that breaks the guidelines in section 5.</w:t>
      </w:r>
    </w:p>
    <w:p>
      <w:pPr>
        <w:pStyle w:val="Heading2"/>
      </w:pPr>
      <w:r>
        <w:rPr/>
        <w:t>7. Thanks and credit</w:t>
      </w:r>
    </w:p>
    <w:p>
      <w:r>
        <w:rPr/>
        <w:t>With your permission, we will thank you by name in our security advisory. You can also stay anonymous. We do not run a paid bug bounty programme at the moment.</w:t>
      </w:r>
    </w:p>
    <w:p>
      <w:pPr>
        <w:pStyle w:val="Heading2"/>
      </w:pPr>
      <w:r>
        <w:rPr/>
        <w:t>8. How we handle vulnerabilities</w:t>
      </w:r>
    </w:p>
    <w:p>
      <w:pPr>
        <w:spacing w:after="60"/>
        <w:ind w:left="397" w:hanging="340"/>
      </w:pPr>
      <w:r>
        <w:t>1.</w:t>
        <w:tab/>
      </w:r>
      <w:r>
        <w:rPr>
          <w:b/>
        </w:rPr>
        <w:t>Receive and record.</w:t>
      </w:r>
      <w:r>
        <w:rPr/>
        <w:t xml:space="preserve"> Every report gets a reference number and a named owner.</w:t>
      </w:r>
    </w:p>
    <w:p>
      <w:pPr>
        <w:spacing w:after="60"/>
        <w:ind w:left="397" w:hanging="340"/>
      </w:pPr>
      <w:r>
        <w:t>2.</w:t>
        <w:tab/>
      </w:r>
      <w:r>
        <w:rPr>
          <w:b/>
        </w:rPr>
        <w:t>Assess.</w:t>
      </w:r>
      <w:r>
        <w:rPr/>
        <w:t xml:space="preserve"> We reproduce the problem, rate how serious it is (we use the CVSS scoring system as a guide), and find out which products and versions are affected, using the software bill of materials (SBOM) we keep for every release.</w:t>
      </w:r>
    </w:p>
    <w:p>
      <w:pPr>
        <w:spacing w:after="60"/>
        <w:ind w:left="397" w:hanging="340"/>
      </w:pPr>
      <w:r>
        <w:t>3.</w:t>
        <w:tab/>
      </w:r>
      <w:r>
        <w:rPr>
          <w:b/>
        </w:rPr>
        <w:t>Check for exploitation.</w:t>
      </w:r>
      <w:r>
        <w:rPr/>
        <w:t xml:space="preserve"> If there are signs that the vulnerability is being actively exploited, we start our reporting runbook straight away (see section 10).</w:t>
      </w:r>
    </w:p>
    <w:p>
      <w:pPr>
        <w:spacing w:after="60"/>
        <w:ind w:left="397" w:hanging="340"/>
      </w:pPr>
      <w:r>
        <w:t>4.</w:t>
        <w:tab/>
      </w:r>
      <w:r>
        <w:rPr>
          <w:b/>
        </w:rPr>
        <w:t>Fix.</w:t>
      </w:r>
      <w:r>
        <w:rPr/>
        <w:t xml:space="preserve"> We develop and test a fix or a way to reduce the risk. Where it is technically possible, we release security fixes separately from new features, so they can be installed quickly.</w:t>
      </w:r>
    </w:p>
    <w:p>
      <w:pPr>
        <w:spacing w:after="60"/>
        <w:ind w:left="397" w:hanging="340"/>
      </w:pPr>
      <w:r>
        <w:t>5.</w:t>
        <w:tab/>
      </w:r>
      <w:r>
        <w:rPr>
          <w:b/>
        </w:rPr>
        <w:t>Release.</w:t>
      </w:r>
      <w:r>
        <w:rPr/>
        <w:t xml:space="preserve"> Security updates are free of charge during the support period and are delivered through the normal update channel of each product (see section 11).</w:t>
      </w:r>
    </w:p>
    <w:p>
      <w:pPr>
        <w:spacing w:after="60"/>
        <w:ind w:left="397" w:hanging="340"/>
      </w:pPr>
      <w:r>
        <w:t>6.</w:t>
        <w:tab/>
      </w:r>
      <w:r>
        <w:rPr>
          <w:b/>
        </w:rPr>
        <w:t>Inform.</w:t>
      </w:r>
      <w:r>
        <w:rPr/>
        <w:t xml:space="preserve"> We publish an advisory that describes the vulnerability, the affected products and versions, the impact, how serious it is, and what users should do, at </w:t>
      </w:r>
      <w:hyperlink r:id="rId12">
        <w:r>
          <w:rPr>
            <w:rFonts w:ascii="Arial" w:hAnsi="Arial"/>
            <w:color w:val="0563C1"/>
            <w:u w:val="single"/>
          </w:rPr>
          <w:t xml:space="preserve">https://company.example/security/advisories</w:t>
        </w:r>
      </w:hyperlink>
      <w:r>
        <w:rPr/>
        <w:t>. In justified cases we may wait to publish the details until users have had a chance to install the update.</w:t>
      </w:r>
    </w:p>
    <w:p>
      <w:pPr>
        <w:spacing w:after="60"/>
        <w:ind w:left="397" w:hanging="340"/>
      </w:pPr>
      <w:r>
        <w:t>7.</w:t>
        <w:tab/>
      </w:r>
      <w:r>
        <w:rPr>
          <w:b/>
        </w:rPr>
        <w:t>Learn.</w:t>
      </w:r>
      <w:r>
        <w:rPr/>
        <w:t xml:space="preserve"> We review what happened and update our processes, our risk assessment and our SBOM.</w:t>
      </w:r>
    </w:p>
    <w:p>
      <w:pPr>
        <w:pStyle w:val="Heading2"/>
      </w:pPr>
      <w:r>
        <w:rPr/>
        <w:t>9. Components from other suppliers</w:t>
      </w:r>
    </w:p>
    <w:p>
      <w:r>
        <w:rPr/>
        <w:t>Our products include third-party and open-source components. We keep an SBOM for every release and check it for known vulnerabilities every month and before each release. When we find a vulnerability in a component, we report it to the people who maintain that component and, where appropriate, share our fix with them. If you find a vulnerability in a component we use, please tell us as well as the component's maintainers.</w:t>
      </w:r>
    </w:p>
    <w:p>
      <w:pPr>
        <w:pStyle w:val="Heading2"/>
      </w:pPr>
      <w:r>
        <w:rPr/>
        <w:t>10. Reporting to the authorities and informing users</w:t>
      </w:r>
    </w:p>
    <w:p>
      <w:r>
        <w:rPr/>
        <w:t>The EU Cyber Resilience Act requires manufacturers to report actively exploited vulnerabilities in their products, and severe incidents that affect the security of their products, through ENISA's single reporting platform. These reporting duties apply from 11 September 2026. We have a written runbook for this. When a report is needed, we also tell the affected users about the problem and what they can do to protect themselves.</w:t>
      </w:r>
    </w:p>
    <w:p>
      <w:pPr>
        <w:pStyle w:val="Heading2"/>
      </w:pPr>
      <w:r>
        <w:rPr/>
        <w:t>11. Support periods and security updates</w:t>
      </w:r>
    </w:p>
    <w:p>
      <w:pPr>
        <w:pStyle w:val="ListBullet"/>
        <w:spacing w:after="60"/>
      </w:pPr>
      <w:r>
        <w:rPr>
          <w:b/>
        </w:rPr>
        <w:t>[Product name]:</w:t>
      </w:r>
      <w:r>
        <w:rPr/>
        <w:t xml:space="preserve"> security updates until the end of [YYYY-MM], delivered through [How updates reach users, e.g. over-the-air updates from the app]. [Are security updates installed automatically by default? How can users postpone or switch this off?]</w:t>
      </w:r>
    </w:p>
    <w:p>
      <w:r>
        <w:rPr/>
        <w:t xml:space="preserve">Security updates stay available for download for at least 10 years after they are released, or until the end of the support period if that is later. Details are in our support period statement at </w:t>
      </w:r>
      <w:hyperlink r:id="rId13">
        <w:r>
          <w:rPr>
            <w:rFonts w:ascii="Arial" w:hAnsi="Arial"/>
            <w:color w:val="0563C1"/>
            <w:u w:val="single"/>
          </w:rPr>
          <w:t xml:space="preserve">https://company.example/support/security-updates</w:t>
        </w:r>
      </w:hyperlink>
      <w:r>
        <w:rPr/>
        <w:t>.</w:t>
      </w:r>
    </w:p>
    <w:p>
      <w:pPr>
        <w:pStyle w:val="Heading2"/>
      </w:pPr>
      <w:r>
        <w:rPr/>
        <w:t>12. Contact and review</w:t>
      </w:r>
    </w:p>
    <w:p>
      <w:r>
        <w:rPr/>
        <w:t xml:space="preserve">Questions about this policy: </w:t>
      </w:r>
      <w:hyperlink r:id="rId10">
        <w:r>
          <w:rPr>
            <w:rFonts w:ascii="Arial" w:hAnsi="Arial"/>
            <w:color w:val="0563C1"/>
            <w:u w:val="single"/>
          </w:rPr>
          <w:t xml:space="preserve">security@company.example</w:t>
        </w:r>
      </w:hyperlink>
      <w:r>
        <w:rPr/>
        <w:t>. We review this policy at least once a year and whenever our products or the law change. Next review: [YYYY-MM-DD].</w:t>
      </w:r>
    </w:p>
    <w:p>
      <w:r>
        <w:rPr/>
        <w:t>[Company legal name] · [Postal address] · https://company.example</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[Company legal name]  |  Vulnerability handling and disclosure policy  |  Version 1.0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Arial" w:hAnsi="Arial" w:eastAsia="Arial"/>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Arial" w:hAnsi="Arial" w:eastAsia="Arial"/>
      <w:b/>
      <w:bCs/>
      <w:i/>
      <w:iCs/>
      <w:color w:val="1F386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Arial" w:hAnsi="Arial" w:eastAsia="Arial"/>
      <w:b/>
      <w:color w:val="1F38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security@company.example" TargetMode="External"/><Relationship Id="rId11" Type="http://schemas.openxmlformats.org/officeDocument/2006/relationships/hyperlink" Target="https://company.example/.well-known/security.txt" TargetMode="External"/><Relationship Id="rId12" Type="http://schemas.openxmlformats.org/officeDocument/2006/relationships/hyperlink" Target="https://company.example/security/advisories" TargetMode="External"/><Relationship Id="rId13" Type="http://schemas.openxmlformats.org/officeDocument/2006/relationships/hyperlink" Target="https://company.example/support/security-upda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