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single" w:sz="8" w:space="4" w:color="8EA9DB"/>
        </w:pBdr>
      </w:pPr>
      <w:r>
        <w:rPr/>
        <w:t>Known-vulnerability report: Sprout S1 2.3.0</w:t>
      </w:r>
    </w:p>
    <w:p>
      <w:pPr>
        <w:pStyle w:val="ListBullet"/>
        <w:spacing w:after="60"/>
      </w:pPr>
      <w:r>
        <w:rPr>
          <w:b/>
        </w:rPr>
        <w:t>Prepared for:</w:t>
      </w:r>
      <w:r>
        <w:rPr/>
        <w:t xml:space="preserve"> Mossbyte Labs BV (fictional)</w:t>
      </w:r>
    </w:p>
    <w:p>
      <w:pPr>
        <w:pStyle w:val="ListBullet"/>
        <w:spacing w:after="60"/>
      </w:pPr>
      <w:r>
        <w:rPr>
          <w:b/>
        </w:rPr>
        <w:t>Prepared by:</w:t>
      </w:r>
      <w:r>
        <w:rPr/>
        <w:t xml:space="preserve"> Alex Example, Example Consulting (fictional)</w:t>
      </w:r>
    </w:p>
    <w:p>
      <w:pPr>
        <w:pStyle w:val="ListBullet"/>
        <w:spacing w:after="60"/>
      </w:pPr>
      <w:r>
        <w:rPr>
          <w:b/>
        </w:rPr>
        <w:t>Date of check:</w:t>
      </w:r>
      <w:r>
        <w:rPr/>
        <w:t xml:space="preserve"> 2026-10-07</w:t>
      </w:r>
    </w:p>
    <w:p>
      <w:pPr>
        <w:pStyle w:val="ListBullet"/>
        <w:spacing w:after="60"/>
      </w:pPr>
      <w:r>
        <w:rPr>
          <w:b/>
        </w:rPr>
        <w:t>SBOM checked:</w:t>
      </w:r>
      <w:r>
        <w:rPr/>
        <w:t xml:space="preserve"> </w:t>
      </w:r>
      <w:r>
        <w:rPr>
          <w:rFonts w:ascii="Courier New" w:hAnsi="Courier New"/>
          <w:sz w:val="19"/>
        </w:rPr>
        <w:t>sprout-s1-2.3.0.cdx.json</w:t>
      </w:r>
      <w:r>
        <w:rPr/>
        <w:t xml:space="preserve"> (SHA-256 </w:t>
      </w:r>
      <w:r>
        <w:rPr>
          <w:rFonts w:ascii="Courier New" w:hAnsi="Courier New"/>
          <w:sz w:val="19"/>
        </w:rPr>
        <w:t>55f9747c1095e75a...</w:t>
      </w:r>
      <w:r>
        <w:rPr/>
        <w:t>)</w:t>
      </w:r>
    </w:p>
    <w:p>
      <w:pPr>
        <w:ind w:left="283" w:right="283"/>
        <w:shd w:val="clear" w:color="auto" w:fill="EAF1FB"/>
        <w:pBdr>
          <w:left w:val="single" w:sz="18" w:space="4" w:color="2F5597"/>
        </w:pBdr>
      </w:pPr>
      <w:r>
        <w:rPr/>
        <w:t>This report lists publicly known vulnerabilities in the third-party components of your product. It matches your SBOM against public vulnerability databases as of 2026-10-07. It does not test your own code, and a listed vulnerability is not always exploitable in your product. This is technical information, not legal advice.</w:t>
      </w:r>
    </w:p>
    <w:p>
      <w:pPr>
        <w:pStyle w:val="Heading2"/>
      </w:pPr>
      <w:r>
        <w:rPr/>
        <w:t>Summary</w:t>
      </w:r>
    </w:p>
    <w:tbl>
      <w:tblPr>
        <w:tblStyle w:val="TableGrid"/>
        <w:tblW w:type="auto" w:w="0"/>
        <w:tblLayout w:type="fixed"/>
        <w:tblLook w:firstColumn="1" w:firstRow="1" w:lastColumn="0" w:lastRow="0" w:noHBand="0" w:noVBand="1" w:val="04A0"/>
      </w:tblPr>
      <w:tblGrid>
        <w:gridCol w:w="4533"/>
        <w:gridCol w:w="5105"/>
      </w:tblGrid>
      <w:tr>
        <w:trPr>
          <w:tblHeader w:val="true"/>
        </w:trPr>
        <w:tc>
          <w:tcPr>
            <w:tcW w:type="dxa" w:w="4533"/>
            <w:shd w:val="clear" w:color="auto" w:fill="D9E2F3"/>
          </w:tcPr>
          <w:p>
            <w:pPr>
              <w:spacing w:after="0"/>
            </w:pPr>
            <w:r>
              <w:rPr>
                <w:b/>
                <w:sz w:val="18"/>
              </w:rPr>
              <w:t>Item</w:t>
            </w:r>
          </w:p>
        </w:tc>
        <w:tc>
          <w:tcPr>
            <w:tcW w:type="dxa" w:w="5105"/>
            <w:shd w:val="clear" w:color="auto" w:fill="D9E2F3"/>
          </w:tcPr>
          <w:p>
            <w:pPr>
              <w:spacing w:after="0"/>
            </w:pPr>
            <w:r>
              <w:rPr>
                <w:b/>
                <w:sz w:val="18"/>
              </w:rPr>
              <w:t>Result</w:t>
            </w:r>
          </w:p>
        </w:tc>
      </w:tr>
      <w:tr>
        <w:tc>
          <w:tcPr>
            <w:tcW w:type="dxa" w:w="4533"/>
          </w:tcPr>
          <w:p>
            <w:pPr>
              <w:spacing w:after="0"/>
            </w:pPr>
            <w:r>
              <w:rPr>
                <w:sz w:val="18"/>
              </w:rPr>
              <w:t>Components in the SBOM</w:t>
            </w:r>
          </w:p>
        </w:tc>
        <w:tc>
          <w:tcPr>
            <w:tcW w:type="dxa" w:w="5105"/>
          </w:tcPr>
          <w:p>
            <w:pPr>
              <w:spacing w:after="0"/>
            </w:pPr>
            <w:r>
              <w:rPr>
                <w:sz w:val="18"/>
              </w:rPr>
              <w:t>137</w:t>
            </w:r>
          </w:p>
        </w:tc>
      </w:tr>
      <w:tr>
        <w:tc>
          <w:tcPr>
            <w:tcW w:type="dxa" w:w="4533"/>
          </w:tcPr>
          <w:p>
            <w:pPr>
              <w:spacing w:after="0"/>
            </w:pPr>
            <w:r>
              <w:rPr>
                <w:sz w:val="18"/>
              </w:rPr>
              <w:t>Checked automatically</w:t>
            </w:r>
          </w:p>
        </w:tc>
        <w:tc>
          <w:tcPr>
            <w:tcW w:type="dxa" w:w="5105"/>
          </w:tcPr>
          <w:p>
            <w:pPr>
              <w:spacing w:after="0"/>
            </w:pPr>
            <w:r>
              <w:rPr>
                <w:sz w:val="18"/>
              </w:rPr>
              <w:t>132</w:t>
            </w:r>
          </w:p>
        </w:tc>
      </w:tr>
      <w:tr>
        <w:tc>
          <w:tcPr>
            <w:tcW w:type="dxa" w:w="4533"/>
          </w:tcPr>
          <w:p>
            <w:pPr>
              <w:spacing w:after="0"/>
            </w:pPr>
            <w:r>
              <w:rPr>
                <w:sz w:val="18"/>
              </w:rPr>
              <w:t>Need a manual check</w:t>
            </w:r>
          </w:p>
        </w:tc>
        <w:tc>
          <w:tcPr>
            <w:tcW w:type="dxa" w:w="5105"/>
          </w:tcPr>
          <w:p>
            <w:pPr>
              <w:spacing w:after="0"/>
            </w:pPr>
            <w:r>
              <w:rPr>
                <w:sz w:val="18"/>
              </w:rPr>
              <w:t>5</w:t>
            </w:r>
          </w:p>
        </w:tc>
      </w:tr>
      <w:tr>
        <w:tc>
          <w:tcPr>
            <w:tcW w:type="dxa" w:w="4533"/>
          </w:tcPr>
          <w:p>
            <w:pPr>
              <w:spacing w:after="0"/>
            </w:pPr>
            <w:r>
              <w:rPr>
                <w:sz w:val="18"/>
              </w:rPr>
              <w:t>Components with known vulnerabilities</w:t>
            </w:r>
          </w:p>
        </w:tc>
        <w:tc>
          <w:tcPr>
            <w:tcW w:type="dxa" w:w="5105"/>
          </w:tcPr>
          <w:p>
            <w:pPr>
              <w:spacing w:after="0"/>
            </w:pPr>
            <w:r>
              <w:rPr>
                <w:sz w:val="18"/>
              </w:rPr>
              <w:t>12</w:t>
            </w:r>
          </w:p>
        </w:tc>
      </w:tr>
      <w:tr>
        <w:tc>
          <w:tcPr>
            <w:tcW w:type="dxa" w:w="4533"/>
          </w:tcPr>
          <w:p>
            <w:pPr>
              <w:spacing w:after="0"/>
            </w:pPr>
            <w:r>
              <w:rPr>
                <w:sz w:val="18"/>
              </w:rPr>
              <w:t>Known vulnerabilities</w:t>
            </w:r>
          </w:p>
        </w:tc>
        <w:tc>
          <w:tcPr>
            <w:tcW w:type="dxa" w:w="5105"/>
          </w:tcPr>
          <w:p>
            <w:pPr>
              <w:spacing w:after="0"/>
            </w:pPr>
            <w:r>
              <w:rPr>
                <w:sz w:val="18"/>
              </w:rPr>
              <w:t>26</w:t>
            </w:r>
          </w:p>
        </w:tc>
      </w:tr>
      <w:tr>
        <w:tc>
          <w:tcPr>
            <w:tcW w:type="dxa" w:w="4533"/>
          </w:tcPr>
          <w:p>
            <w:pPr>
              <w:spacing w:after="0"/>
            </w:pPr>
            <w:r>
              <w:rPr>
                <w:sz w:val="18"/>
              </w:rPr>
              <w:t>By severity</w:t>
            </w:r>
          </w:p>
        </w:tc>
        <w:tc>
          <w:tcPr>
            <w:tcW w:type="dxa" w:w="5105"/>
          </w:tcPr>
          <w:p>
            <w:pPr>
              <w:spacing w:after="0"/>
            </w:pPr>
            <w:r>
              <w:rPr>
                <w:sz w:val="18"/>
              </w:rPr>
              <w:t>Critical 0 · High 6 · Medium 13 · Low 7 · Not rated 0</w:t>
            </w:r>
          </w:p>
        </w:tc>
      </w:tr>
      <w:tr>
        <w:tc>
          <w:tcPr>
            <w:tcW w:type="dxa" w:w="4533"/>
          </w:tcPr>
          <w:p>
            <w:pPr>
              <w:spacing w:after="0"/>
            </w:pPr>
            <w:r>
              <w:rPr>
                <w:sz w:val="18"/>
              </w:rPr>
              <w:t>On CISA's known-exploited list (KEV)</w:t>
            </w:r>
          </w:p>
        </w:tc>
        <w:tc>
          <w:tcPr>
            <w:tcW w:type="dxa" w:w="5105"/>
          </w:tcPr>
          <w:p>
            <w:pPr>
              <w:spacing w:after="0"/>
            </w:pPr>
            <w:r>
              <w:rPr>
                <w:sz w:val="18"/>
              </w:rPr>
              <w:t>0</w:t>
            </w:r>
          </w:p>
        </w:tc>
      </w:tr>
    </w:tbl>
    <w:p>
      <w:pPr>
        <w:spacing w:after="40"/>
      </w:pPr>
    </w:p>
    <w:p>
      <w:pPr>
        <w:pStyle w:val="Heading2"/>
      </w:pPr>
      <w:r>
        <w:rPr/>
        <w:t>What to do first</w:t>
      </w:r>
    </w:p>
    <w:p>
      <w:r>
        <w:rPr/>
        <w:t>Each action below fixes one or more findings. They are sorted by the most serious finding they fix.</w:t>
      </w:r>
    </w:p>
    <w:p>
      <w:pPr>
        <w:spacing w:after="60"/>
        <w:ind w:left="397" w:hanging="340"/>
      </w:pPr>
      <w:r>
        <w:t>1.</w:t>
        <w:tab/>
      </w:r>
      <w:r>
        <w:rPr>
          <w:b/>
        </w:rPr>
        <w:t>Update express from 4.18.2 to 4.22.3 in sprout-companion.</w:t>
      </w:r>
      <w:r>
        <w:rPr/>
        <w:t xml:space="preserve"> Fixes 12 finding(s), highest severity High, in body-parser, cookie, express, path-to-regexp, qs, send, serve-static (CVE-2024-45590, CVE-2024-45296, CVE-2024-52798, CVE-2024-29041, CVE-2025-15284, CVE-2026-82417 and 6 more).</w:t>
      </w:r>
    </w:p>
    <w:p>
      <w:pPr>
        <w:spacing w:after="60"/>
        <w:ind w:left="397" w:hanging="340"/>
      </w:pPr>
      <w:r>
        <w:t>2.</w:t>
        <w:tab/>
      </w:r>
      <w:r>
        <w:rPr>
          <w:b/>
        </w:rPr>
        <w:t>Update werkzeug from 3.0.1 to 3.1.9 or later in sprout-cloud.</w:t>
      </w:r>
      <w:r>
        <w:rPr/>
        <w:t xml:space="preserve"> Fixes 7 finding(s), highest severity High, in werkzeug (CVE-2024-34069, CVE-2024-49766, CVE-2025-66221, CVE-2026-21860, CVE-2026-27199, CVE-2024-49767 and 1 more).</w:t>
      </w:r>
    </w:p>
    <w:p>
      <w:pPr>
        <w:spacing w:after="60"/>
        <w:ind w:left="397" w:hanging="340"/>
      </w:pPr>
      <w:r>
        <w:t>3.</w:t>
        <w:tab/>
      </w:r>
      <w:r>
        <w:rPr>
          <w:b/>
        </w:rPr>
        <w:t>Update gunicorn from 21.2.0 to 22.0.0 or later in sprout-cloud. This is a major version change, so test carefully.</w:t>
      </w:r>
      <w:r>
        <w:rPr/>
        <w:t xml:space="preserve"> Fixes 2 finding(s), highest severity High, in gunicorn (CVE-2024-1135, CVE-2024-6827).</w:t>
      </w:r>
    </w:p>
    <w:p>
      <w:pPr>
        <w:spacing w:after="60"/>
        <w:ind w:left="397" w:hanging="340"/>
      </w:pPr>
      <w:r>
        <w:t>4.</w:t>
        <w:tab/>
      </w:r>
      <w:r>
        <w:rPr>
          <w:b/>
        </w:rPr>
        <w:t>Update requests from 2.31.0 to 2.33.0 or later in sprout-cloud.</w:t>
      </w:r>
      <w:r>
        <w:rPr/>
        <w:t xml:space="preserve"> Fixes 3 finding(s), highest severity Medium, in requests (CVE-2024-35195, CVE-2024-47081, CVE-2026-25645).</w:t>
      </w:r>
    </w:p>
    <w:p>
      <w:pPr>
        <w:spacing w:after="60"/>
        <w:ind w:left="397" w:hanging="340"/>
      </w:pPr>
      <w:r>
        <w:t>5.</w:t>
        <w:tab/>
      </w:r>
      <w:r>
        <w:rPr>
          <w:b/>
        </w:rPr>
        <w:t>Update python-dotenv from 1.0.1 to 1.2.2 or later in sprout-cloud.</w:t>
      </w:r>
      <w:r>
        <w:rPr/>
        <w:t xml:space="preserve"> Fixes 1 finding(s), highest severity Medium, in python-dotenv (CVE-2026-28684).</w:t>
      </w:r>
    </w:p>
    <w:p>
      <w:pPr>
        <w:spacing w:after="60"/>
        <w:ind w:left="397" w:hanging="340"/>
      </w:pPr>
      <w:r>
        <w:t>6.</w:t>
        <w:tab/>
      </w:r>
      <w:r>
        <w:rPr>
          <w:b/>
        </w:rPr>
        <w:t>Update flask from 2.3.2 to 3.1.3 or later in sprout-cloud. This is a major version change, so test carefully.</w:t>
      </w:r>
      <w:r>
        <w:rPr/>
        <w:t xml:space="preserve"> Fixes 1 finding(s), highest severity Low, in flask (CVE-2026-27205).</w:t>
      </w:r>
    </w:p>
    <w:p>
      <w:pPr>
        <w:pStyle w:val="Heading2"/>
      </w:pPr>
      <w:r>
        <w:rPr/>
        <w:t>Before your next release</w:t>
      </w:r>
    </w:p>
    <w:p>
      <w:pPr>
        <w:pStyle w:val="ListBullet"/>
        <w:spacing w:after="60"/>
      </w:pPr>
      <w:r>
        <w:rPr/>
        <w:t>From 11 December 2027 the CRA expects products to go on sale without known exploitable vulnerabilities (verify current dates). For each finding, either fix it or write down why it cannot be exploited in your product (for example, the affected feature is never used). Use the 'Your assessment' column in the spreadsheet.</w:t>
      </w:r>
    </w:p>
    <w:p>
      <w:pPr>
        <w:pStyle w:val="ListBullet"/>
        <w:spacing w:after="60"/>
      </w:pPr>
      <w:r>
        <w:rPr/>
        <w:t>Re-run the SBOM and this check for every release, and keep both files with the release.</w:t>
      </w:r>
    </w:p>
    <w:p>
      <w:pPr>
        <w:pStyle w:val="ListBullet"/>
        <w:spacing w:after="60"/>
      </w:pPr>
      <w:r>
        <w:rPr/>
        <w:t>The components in 'Need a manual check' are not covered by the automatic tools. Check them by hand.</w:t>
      </w:r>
    </w:p>
    <w:p>
      <w:pPr>
        <w:pStyle w:val="Heading2"/>
      </w:pPr>
      <w:r>
        <w:rPr/>
        <w:t>Is anything here reportable?</w:t>
      </w:r>
    </w:p>
    <w:p>
      <w:r>
        <w:rPr/>
        <w:t>None of the findings is on CISA's known-exploited list (CISA KEV catalogue version 2026.10.04 (1734 entries, released 2026-10-04) from https://raw.githubusercontent.com/cisagov/kev-data/main/known_exploited_vulnerabilities.json).</w:t>
      </w:r>
    </w:p>
    <w:p>
      <w:r>
        <w:rPr/>
        <w:t>Since 11 September 2026 manufacturers must report actively exploited vulnerabilities in their products, and severe incidents, to ENISA's single reporting platform: an early warning within 24 hours, a notification within 72 hours and a final report later (verify current dates). If you learn that any vulnerability in your product is being exploited, follow your reporting runbook straight away and involve your lawyer.</w:t>
      </w:r>
    </w:p>
    <w:p>
      <w:pPr>
        <w:pStyle w:val="Heading2"/>
      </w:pPr>
      <w:r>
        <w:rPr/>
        <w:t>All findings</w:t>
      </w:r>
    </w:p>
    <w:tbl>
      <w:tblPr>
        <w:tblStyle w:val="TableGrid"/>
        <w:tblW w:type="auto" w:w="0"/>
        <w:tblLayout w:type="fixed"/>
        <w:tblLook w:firstColumn="1" w:firstRow="1" w:lastColumn="0" w:lastRow="0" w:noHBand="0" w:noVBand="1" w:val="04A0"/>
      </w:tblPr>
      <w:tblGrid>
        <w:gridCol w:w="1066"/>
        <w:gridCol w:w="1840"/>
        <w:gridCol w:w="1404"/>
        <w:gridCol w:w="845"/>
        <w:gridCol w:w="1340"/>
        <w:gridCol w:w="3143"/>
      </w:tblGrid>
      <w:tr>
        <w:trPr>
          <w:tblHeader w:val="true"/>
        </w:trPr>
        <w:tc>
          <w:tcPr>
            <w:tcW w:type="dxa" w:w="1066"/>
            <w:shd w:val="clear" w:color="auto" w:fill="D9E2F3"/>
          </w:tcPr>
          <w:p>
            <w:pPr>
              <w:spacing w:after="0"/>
            </w:pPr>
            <w:r>
              <w:rPr>
                <w:b/>
                <w:sz w:val="18"/>
              </w:rPr>
              <w:t>Severity</w:t>
            </w:r>
          </w:p>
        </w:tc>
        <w:tc>
          <w:tcPr>
            <w:tcW w:type="dxa" w:w="1840"/>
            <w:shd w:val="clear" w:color="auto" w:fill="D9E2F3"/>
          </w:tcPr>
          <w:p>
            <w:pPr>
              <w:spacing w:after="0"/>
            </w:pPr>
            <w:r>
              <w:rPr>
                <w:b/>
                <w:sz w:val="18"/>
              </w:rPr>
              <w:t>ID</w:t>
            </w:r>
          </w:p>
        </w:tc>
        <w:tc>
          <w:tcPr>
            <w:tcW w:type="dxa" w:w="1404"/>
            <w:shd w:val="clear" w:color="auto" w:fill="D9E2F3"/>
          </w:tcPr>
          <w:p>
            <w:pPr>
              <w:spacing w:after="0"/>
            </w:pPr>
            <w:r>
              <w:rPr>
                <w:b/>
                <w:sz w:val="18"/>
              </w:rPr>
              <w:t>Component</w:t>
            </w:r>
          </w:p>
        </w:tc>
        <w:tc>
          <w:tcPr>
            <w:tcW w:type="dxa" w:w="845"/>
            <w:shd w:val="clear" w:color="auto" w:fill="D9E2F3"/>
          </w:tcPr>
          <w:p>
            <w:pPr>
              <w:spacing w:after="0"/>
            </w:pPr>
            <w:r>
              <w:rPr>
                <w:b/>
                <w:sz w:val="18"/>
              </w:rPr>
              <w:t>Fixed in</w:t>
            </w:r>
          </w:p>
        </w:tc>
        <w:tc>
          <w:tcPr>
            <w:tcW w:type="dxa" w:w="1340"/>
            <w:shd w:val="clear" w:color="auto" w:fill="D9E2F3"/>
          </w:tcPr>
          <w:p>
            <w:pPr>
              <w:spacing w:after="0"/>
            </w:pPr>
            <w:r>
              <w:rPr>
                <w:b/>
                <w:sz w:val="18"/>
              </w:rPr>
              <w:t>Part</w:t>
            </w:r>
          </w:p>
        </w:tc>
        <w:tc>
          <w:tcPr>
            <w:tcW w:type="dxa" w:w="3143"/>
            <w:shd w:val="clear" w:color="auto" w:fill="D9E2F3"/>
          </w:tcPr>
          <w:p>
            <w:pPr>
              <w:spacing w:after="0"/>
            </w:pPr>
            <w:r>
              <w:rPr>
                <w:b/>
                <w:sz w:val="18"/>
              </w:rPr>
              <w:t>What it is</w:t>
            </w:r>
          </w:p>
        </w:tc>
      </w:tr>
      <w:tr>
        <w:tc>
          <w:tcPr>
            <w:tcW w:type="dxa" w:w="1066"/>
          </w:tcPr>
          <w:p>
            <w:pPr>
              <w:spacing w:after="0"/>
            </w:pPr>
            <w:r>
              <w:rPr>
                <w:sz w:val="18"/>
              </w:rPr>
              <w:t>High</w:t>
            </w:r>
          </w:p>
        </w:tc>
        <w:tc>
          <w:tcPr>
            <w:tcW w:type="dxa" w:w="1840"/>
          </w:tcPr>
          <w:p>
            <w:pPr>
              <w:spacing w:after="0"/>
            </w:pPr>
            <w:hyperlink r:id="rId10">
              <w:r>
                <w:rPr>
                  <w:rFonts w:ascii="Arial" w:hAnsi="Arial"/>
                  <w:color w:val="0563C1"/>
                  <w:u w:val="single"/>
                  <w:sz w:val="18"/>
                </w:rPr>
                <w:t xml:space="preserve">CVE-2024-45590</w:t>
              </w:r>
            </w:hyperlink>
          </w:p>
        </w:tc>
        <w:tc>
          <w:tcPr>
            <w:tcW w:type="dxa" w:w="1404"/>
          </w:tcPr>
          <w:p>
            <w:pPr>
              <w:spacing w:after="0"/>
            </w:pPr>
            <w:r>
              <w:rPr>
                <w:sz w:val="18"/>
              </w:rPr>
              <w:t>body-parser 1.20.1</w:t>
            </w:r>
          </w:p>
        </w:tc>
        <w:tc>
          <w:tcPr>
            <w:tcW w:type="dxa" w:w="845"/>
          </w:tcPr>
          <w:p>
            <w:pPr>
              <w:spacing w:after="0"/>
            </w:pPr>
            <w:r>
              <w:rPr>
                <w:sz w:val="18"/>
              </w:rPr>
              <w:t>1.20.3</w:t>
            </w:r>
          </w:p>
        </w:tc>
        <w:tc>
          <w:tcPr>
            <w:tcW w:type="dxa" w:w="1340"/>
          </w:tcPr>
          <w:p>
            <w:pPr>
              <w:spacing w:after="0"/>
            </w:pPr>
            <w:r>
              <w:rPr>
                <w:sz w:val="18"/>
              </w:rPr>
              <w:t>sprout-companion</w:t>
            </w:r>
          </w:p>
        </w:tc>
        <w:tc>
          <w:tcPr>
            <w:tcW w:type="dxa" w:w="3143"/>
          </w:tcPr>
          <w:p>
            <w:pPr>
              <w:spacing w:after="0"/>
            </w:pPr>
            <w:r>
              <w:rPr>
                <w:sz w:val="18"/>
              </w:rPr>
              <w:t>body-parser vulnerable to denial of service when url encoding is enabled</w:t>
            </w:r>
          </w:p>
        </w:tc>
      </w:tr>
      <w:tr>
        <w:tc>
          <w:tcPr>
            <w:tcW w:type="dxa" w:w="1066"/>
          </w:tcPr>
          <w:p>
            <w:pPr>
              <w:spacing w:after="0"/>
            </w:pPr>
            <w:r>
              <w:rPr>
                <w:sz w:val="18"/>
              </w:rPr>
              <w:t>High</w:t>
            </w:r>
          </w:p>
        </w:tc>
        <w:tc>
          <w:tcPr>
            <w:tcW w:type="dxa" w:w="1840"/>
          </w:tcPr>
          <w:p>
            <w:pPr>
              <w:spacing w:after="0"/>
            </w:pPr>
            <w:hyperlink r:id="rId11">
              <w:r>
                <w:rPr>
                  <w:rFonts w:ascii="Arial" w:hAnsi="Arial"/>
                  <w:color w:val="0563C1"/>
                  <w:u w:val="single"/>
                  <w:sz w:val="18"/>
                </w:rPr>
                <w:t xml:space="preserve">CVE-2024-1135</w:t>
              </w:r>
            </w:hyperlink>
          </w:p>
        </w:tc>
        <w:tc>
          <w:tcPr>
            <w:tcW w:type="dxa" w:w="1404"/>
          </w:tcPr>
          <w:p>
            <w:pPr>
              <w:spacing w:after="0"/>
            </w:pPr>
            <w:r>
              <w:rPr>
                <w:sz w:val="18"/>
              </w:rPr>
              <w:t>gunicorn 21.2.0</w:t>
            </w:r>
          </w:p>
        </w:tc>
        <w:tc>
          <w:tcPr>
            <w:tcW w:type="dxa" w:w="845"/>
          </w:tcPr>
          <w:p>
            <w:pPr>
              <w:spacing w:after="0"/>
            </w:pPr>
            <w:r>
              <w:rPr>
                <w:sz w:val="18"/>
              </w:rPr>
              <w:t>22.0.0</w:t>
            </w:r>
          </w:p>
        </w:tc>
        <w:tc>
          <w:tcPr>
            <w:tcW w:type="dxa" w:w="1340"/>
          </w:tcPr>
          <w:p>
            <w:pPr>
              <w:spacing w:after="0"/>
            </w:pPr>
            <w:r>
              <w:rPr>
                <w:sz w:val="18"/>
              </w:rPr>
              <w:t>sprout-cloud</w:t>
            </w:r>
          </w:p>
        </w:tc>
        <w:tc>
          <w:tcPr>
            <w:tcW w:type="dxa" w:w="3143"/>
          </w:tcPr>
          <w:p>
            <w:pPr>
              <w:spacing w:after="0"/>
            </w:pPr>
            <w:r>
              <w:rPr>
                <w:sz w:val="18"/>
              </w:rPr>
              <w:t>Request smuggling leading to endpoint restriction bypass in Gunicorn</w:t>
            </w:r>
          </w:p>
        </w:tc>
      </w:tr>
      <w:tr>
        <w:tc>
          <w:tcPr>
            <w:tcW w:type="dxa" w:w="1066"/>
          </w:tcPr>
          <w:p>
            <w:pPr>
              <w:spacing w:after="0"/>
            </w:pPr>
            <w:r>
              <w:rPr>
                <w:sz w:val="18"/>
              </w:rPr>
              <w:t>High</w:t>
            </w:r>
          </w:p>
        </w:tc>
        <w:tc>
          <w:tcPr>
            <w:tcW w:type="dxa" w:w="1840"/>
          </w:tcPr>
          <w:p>
            <w:pPr>
              <w:spacing w:after="0"/>
            </w:pPr>
            <w:hyperlink r:id="rId12">
              <w:r>
                <w:rPr>
                  <w:rFonts w:ascii="Arial" w:hAnsi="Arial"/>
                  <w:color w:val="0563C1"/>
                  <w:u w:val="single"/>
                  <w:sz w:val="18"/>
                </w:rPr>
                <w:t xml:space="preserve">CVE-2024-6827</w:t>
              </w:r>
            </w:hyperlink>
          </w:p>
        </w:tc>
        <w:tc>
          <w:tcPr>
            <w:tcW w:type="dxa" w:w="1404"/>
          </w:tcPr>
          <w:p>
            <w:pPr>
              <w:spacing w:after="0"/>
            </w:pPr>
            <w:r>
              <w:rPr>
                <w:sz w:val="18"/>
              </w:rPr>
              <w:t>gunicorn 21.2.0</w:t>
            </w:r>
          </w:p>
        </w:tc>
        <w:tc>
          <w:tcPr>
            <w:tcW w:type="dxa" w:w="845"/>
          </w:tcPr>
          <w:p>
            <w:pPr>
              <w:spacing w:after="0"/>
            </w:pPr>
            <w:r>
              <w:rPr>
                <w:sz w:val="18"/>
              </w:rPr>
              <w:t>22.0.0</w:t>
            </w:r>
          </w:p>
        </w:tc>
        <w:tc>
          <w:tcPr>
            <w:tcW w:type="dxa" w:w="1340"/>
          </w:tcPr>
          <w:p>
            <w:pPr>
              <w:spacing w:after="0"/>
            </w:pPr>
            <w:r>
              <w:rPr>
                <w:sz w:val="18"/>
              </w:rPr>
              <w:t>sprout-cloud</w:t>
            </w:r>
          </w:p>
        </w:tc>
        <w:tc>
          <w:tcPr>
            <w:tcW w:type="dxa" w:w="3143"/>
          </w:tcPr>
          <w:p>
            <w:pPr>
              <w:spacing w:after="0"/>
            </w:pPr>
            <w:r>
              <w:rPr>
                <w:sz w:val="18"/>
              </w:rPr>
              <w:t>Gunicorn HTTP Request/Response Smuggling vulnerability</w:t>
            </w:r>
          </w:p>
        </w:tc>
      </w:tr>
      <w:tr>
        <w:tc>
          <w:tcPr>
            <w:tcW w:type="dxa" w:w="1066"/>
          </w:tcPr>
          <w:p>
            <w:pPr>
              <w:spacing w:after="0"/>
            </w:pPr>
            <w:r>
              <w:rPr>
                <w:sz w:val="18"/>
              </w:rPr>
              <w:t>High</w:t>
            </w:r>
          </w:p>
        </w:tc>
        <w:tc>
          <w:tcPr>
            <w:tcW w:type="dxa" w:w="1840"/>
          </w:tcPr>
          <w:p>
            <w:pPr>
              <w:spacing w:after="0"/>
            </w:pPr>
            <w:hyperlink r:id="rId13">
              <w:r>
                <w:rPr>
                  <w:rFonts w:ascii="Arial" w:hAnsi="Arial"/>
                  <w:color w:val="0563C1"/>
                  <w:u w:val="single"/>
                  <w:sz w:val="18"/>
                </w:rPr>
                <w:t xml:space="preserve">CVE-2024-45296</w:t>
              </w:r>
            </w:hyperlink>
          </w:p>
        </w:tc>
        <w:tc>
          <w:tcPr>
            <w:tcW w:type="dxa" w:w="1404"/>
          </w:tcPr>
          <w:p>
            <w:pPr>
              <w:spacing w:after="0"/>
            </w:pPr>
            <w:r>
              <w:rPr>
                <w:sz w:val="18"/>
              </w:rPr>
              <w:t>path-to-regexp 0.1.7</w:t>
            </w:r>
          </w:p>
        </w:tc>
        <w:tc>
          <w:tcPr>
            <w:tcW w:type="dxa" w:w="845"/>
          </w:tcPr>
          <w:p>
            <w:pPr>
              <w:spacing w:after="0"/>
            </w:pPr>
            <w:r>
              <w:rPr>
                <w:sz w:val="18"/>
              </w:rPr>
              <w:t>0.1.13</w:t>
            </w:r>
          </w:p>
        </w:tc>
        <w:tc>
          <w:tcPr>
            <w:tcW w:type="dxa" w:w="1340"/>
          </w:tcPr>
          <w:p>
            <w:pPr>
              <w:spacing w:after="0"/>
            </w:pPr>
            <w:r>
              <w:rPr>
                <w:sz w:val="18"/>
              </w:rPr>
              <w:t>sprout-companion</w:t>
            </w:r>
          </w:p>
        </w:tc>
        <w:tc>
          <w:tcPr>
            <w:tcW w:type="dxa" w:w="3143"/>
          </w:tcPr>
          <w:p>
            <w:pPr>
              <w:spacing w:after="0"/>
            </w:pPr>
            <w:r>
              <w:rPr>
                <w:sz w:val="18"/>
              </w:rPr>
              <w:t>path-to-regexp outputs backtracking regular expressions</w:t>
            </w:r>
          </w:p>
        </w:tc>
      </w:tr>
      <w:tr>
        <w:tc>
          <w:tcPr>
            <w:tcW w:type="dxa" w:w="1066"/>
          </w:tcPr>
          <w:p>
            <w:pPr>
              <w:spacing w:after="0"/>
            </w:pPr>
            <w:r>
              <w:rPr>
                <w:sz w:val="18"/>
              </w:rPr>
              <w:t>High</w:t>
            </w:r>
          </w:p>
        </w:tc>
        <w:tc>
          <w:tcPr>
            <w:tcW w:type="dxa" w:w="1840"/>
          </w:tcPr>
          <w:p>
            <w:pPr>
              <w:spacing w:after="0"/>
            </w:pPr>
            <w:hyperlink r:id="rId14">
              <w:r>
                <w:rPr>
                  <w:rFonts w:ascii="Arial" w:hAnsi="Arial"/>
                  <w:color w:val="0563C1"/>
                  <w:u w:val="single"/>
                  <w:sz w:val="18"/>
                </w:rPr>
                <w:t xml:space="preserve">CVE-2024-52798</w:t>
              </w:r>
            </w:hyperlink>
          </w:p>
        </w:tc>
        <w:tc>
          <w:tcPr>
            <w:tcW w:type="dxa" w:w="1404"/>
          </w:tcPr>
          <w:p>
            <w:pPr>
              <w:spacing w:after="0"/>
            </w:pPr>
            <w:r>
              <w:rPr>
                <w:sz w:val="18"/>
              </w:rPr>
              <w:t>path-to-regexp 0.1.7</w:t>
            </w:r>
          </w:p>
        </w:tc>
        <w:tc>
          <w:tcPr>
            <w:tcW w:type="dxa" w:w="845"/>
          </w:tcPr>
          <w:p>
            <w:pPr>
              <w:spacing w:after="0"/>
            </w:pPr>
            <w:r>
              <w:rPr>
                <w:sz w:val="18"/>
              </w:rPr>
              <w:t>0.1.12</w:t>
            </w:r>
          </w:p>
        </w:tc>
        <w:tc>
          <w:tcPr>
            <w:tcW w:type="dxa" w:w="1340"/>
          </w:tcPr>
          <w:p>
            <w:pPr>
              <w:spacing w:after="0"/>
            </w:pPr>
            <w:r>
              <w:rPr>
                <w:sz w:val="18"/>
              </w:rPr>
              <w:t>sprout-companion</w:t>
            </w:r>
          </w:p>
        </w:tc>
        <w:tc>
          <w:tcPr>
            <w:tcW w:type="dxa" w:w="3143"/>
          </w:tcPr>
          <w:p>
            <w:pPr>
              <w:spacing w:after="0"/>
            </w:pPr>
            <w:r>
              <w:rPr>
                <w:sz w:val="18"/>
              </w:rPr>
              <w:t>path-to-regexp contains a ReDoS</w:t>
            </w:r>
          </w:p>
        </w:tc>
      </w:tr>
      <w:tr>
        <w:tc>
          <w:tcPr>
            <w:tcW w:type="dxa" w:w="1066"/>
          </w:tcPr>
          <w:p>
            <w:pPr>
              <w:spacing w:after="0"/>
            </w:pPr>
            <w:r>
              <w:rPr>
                <w:sz w:val="18"/>
              </w:rPr>
              <w:t>High</w:t>
            </w:r>
          </w:p>
        </w:tc>
        <w:tc>
          <w:tcPr>
            <w:tcW w:type="dxa" w:w="1840"/>
          </w:tcPr>
          <w:p>
            <w:pPr>
              <w:spacing w:after="0"/>
            </w:pPr>
            <w:hyperlink r:id="rId15">
              <w:r>
                <w:rPr>
                  <w:rFonts w:ascii="Arial" w:hAnsi="Arial"/>
                  <w:color w:val="0563C1"/>
                  <w:u w:val="single"/>
                  <w:sz w:val="18"/>
                </w:rPr>
                <w:t xml:space="preserve">CVE-2024-34069</w:t>
              </w:r>
            </w:hyperlink>
          </w:p>
        </w:tc>
        <w:tc>
          <w:tcPr>
            <w:tcW w:type="dxa" w:w="1404"/>
          </w:tcPr>
          <w:p>
            <w:pPr>
              <w:spacing w:after="0"/>
            </w:pPr>
            <w:r>
              <w:rPr>
                <w:sz w:val="18"/>
              </w:rPr>
              <w:t>werkzeug 3.0.1</w:t>
            </w:r>
          </w:p>
        </w:tc>
        <w:tc>
          <w:tcPr>
            <w:tcW w:type="dxa" w:w="845"/>
          </w:tcPr>
          <w:p>
            <w:pPr>
              <w:spacing w:after="0"/>
            </w:pPr>
            <w:r>
              <w:rPr>
                <w:sz w:val="18"/>
              </w:rPr>
              <w:t>3.0.3</w:t>
            </w:r>
          </w:p>
        </w:tc>
        <w:tc>
          <w:tcPr>
            <w:tcW w:type="dxa" w:w="1340"/>
          </w:tcPr>
          <w:p>
            <w:pPr>
              <w:spacing w:after="0"/>
            </w:pPr>
            <w:r>
              <w:rPr>
                <w:sz w:val="18"/>
              </w:rPr>
              <w:t>sprout-cloud</w:t>
            </w:r>
          </w:p>
        </w:tc>
        <w:tc>
          <w:tcPr>
            <w:tcW w:type="dxa" w:w="3143"/>
          </w:tcPr>
          <w:p>
            <w:pPr>
              <w:spacing w:after="0"/>
            </w:pPr>
            <w:r>
              <w:rPr>
                <w:sz w:val="18"/>
              </w:rPr>
              <w:t>Werkzeug debugger vulnerable to remote execution when interacting with attacker controlled domain</w:t>
            </w:r>
          </w:p>
        </w:tc>
      </w:tr>
      <w:tr>
        <w:tc>
          <w:tcPr>
            <w:tcW w:type="dxa" w:w="1066"/>
          </w:tcPr>
          <w:p>
            <w:pPr>
              <w:spacing w:after="0"/>
            </w:pPr>
            <w:r>
              <w:rPr>
                <w:sz w:val="18"/>
              </w:rPr>
              <w:t>Medium</w:t>
            </w:r>
          </w:p>
        </w:tc>
        <w:tc>
          <w:tcPr>
            <w:tcW w:type="dxa" w:w="1840"/>
          </w:tcPr>
          <w:p>
            <w:pPr>
              <w:spacing w:after="0"/>
            </w:pPr>
            <w:hyperlink r:id="rId16">
              <w:r>
                <w:rPr>
                  <w:rFonts w:ascii="Arial" w:hAnsi="Arial"/>
                  <w:color w:val="0563C1"/>
                  <w:u w:val="single"/>
                  <w:sz w:val="18"/>
                </w:rPr>
                <w:t xml:space="preserve">CVE-2024-29041</w:t>
              </w:r>
            </w:hyperlink>
          </w:p>
        </w:tc>
        <w:tc>
          <w:tcPr>
            <w:tcW w:type="dxa" w:w="1404"/>
          </w:tcPr>
          <w:p>
            <w:pPr>
              <w:spacing w:after="0"/>
            </w:pPr>
            <w:r>
              <w:rPr>
                <w:sz w:val="18"/>
              </w:rPr>
              <w:t>express 4.18.2</w:t>
            </w:r>
          </w:p>
        </w:tc>
        <w:tc>
          <w:tcPr>
            <w:tcW w:type="dxa" w:w="845"/>
          </w:tcPr>
          <w:p>
            <w:pPr>
              <w:spacing w:after="0"/>
            </w:pPr>
            <w:r>
              <w:rPr>
                <w:sz w:val="18"/>
              </w:rPr>
              <w:t>4.19.2</w:t>
            </w:r>
          </w:p>
        </w:tc>
        <w:tc>
          <w:tcPr>
            <w:tcW w:type="dxa" w:w="1340"/>
          </w:tcPr>
          <w:p>
            <w:pPr>
              <w:spacing w:after="0"/>
            </w:pPr>
            <w:r>
              <w:rPr>
                <w:sz w:val="18"/>
              </w:rPr>
              <w:t>sprout-companion</w:t>
            </w:r>
          </w:p>
        </w:tc>
        <w:tc>
          <w:tcPr>
            <w:tcW w:type="dxa" w:w="3143"/>
          </w:tcPr>
          <w:p>
            <w:pPr>
              <w:spacing w:after="0"/>
            </w:pPr>
            <w:r>
              <w:rPr>
                <w:sz w:val="18"/>
              </w:rPr>
              <w:t>Express.js Open Redirect in malformed URLs</w:t>
            </w:r>
          </w:p>
        </w:tc>
      </w:tr>
      <w:tr>
        <w:tc>
          <w:tcPr>
            <w:tcW w:type="dxa" w:w="1066"/>
          </w:tcPr>
          <w:p>
            <w:pPr>
              <w:spacing w:after="0"/>
            </w:pPr>
            <w:r>
              <w:rPr>
                <w:sz w:val="18"/>
              </w:rPr>
              <w:t>Medium</w:t>
            </w:r>
          </w:p>
        </w:tc>
        <w:tc>
          <w:tcPr>
            <w:tcW w:type="dxa" w:w="1840"/>
          </w:tcPr>
          <w:p>
            <w:pPr>
              <w:spacing w:after="0"/>
            </w:pPr>
            <w:hyperlink r:id="rId17">
              <w:r>
                <w:rPr>
                  <w:rFonts w:ascii="Arial" w:hAnsi="Arial"/>
                  <w:color w:val="0563C1"/>
                  <w:u w:val="single"/>
                  <w:sz w:val="18"/>
                </w:rPr>
                <w:t xml:space="preserve">CVE-2026-28684</w:t>
              </w:r>
            </w:hyperlink>
          </w:p>
        </w:tc>
        <w:tc>
          <w:tcPr>
            <w:tcW w:type="dxa" w:w="1404"/>
          </w:tcPr>
          <w:p>
            <w:pPr>
              <w:spacing w:after="0"/>
            </w:pPr>
            <w:r>
              <w:rPr>
                <w:sz w:val="18"/>
              </w:rPr>
              <w:t>python-dotenv 1.0.1</w:t>
            </w:r>
          </w:p>
        </w:tc>
        <w:tc>
          <w:tcPr>
            <w:tcW w:type="dxa" w:w="845"/>
          </w:tcPr>
          <w:p>
            <w:pPr>
              <w:spacing w:after="0"/>
            </w:pPr>
            <w:r>
              <w:rPr>
                <w:sz w:val="18"/>
              </w:rPr>
              <w:t>1.2.2</w:t>
            </w:r>
          </w:p>
        </w:tc>
        <w:tc>
          <w:tcPr>
            <w:tcW w:type="dxa" w:w="1340"/>
          </w:tcPr>
          <w:p>
            <w:pPr>
              <w:spacing w:after="0"/>
            </w:pPr>
            <w:r>
              <w:rPr>
                <w:sz w:val="18"/>
              </w:rPr>
              <w:t>sprout-cloud</w:t>
            </w:r>
          </w:p>
        </w:tc>
        <w:tc>
          <w:tcPr>
            <w:tcW w:type="dxa" w:w="3143"/>
          </w:tcPr>
          <w:p>
            <w:pPr>
              <w:spacing w:after="0"/>
            </w:pPr>
            <w:r>
              <w:rPr>
                <w:sz w:val="18"/>
              </w:rPr>
              <w:t>python-dotenv: Symlink following in setkey allows arbitrary file overwrite via cross-device rename fallback</w:t>
            </w:r>
          </w:p>
        </w:tc>
      </w:tr>
      <w:tr>
        <w:tc>
          <w:tcPr>
            <w:tcW w:type="dxa" w:w="1066"/>
          </w:tcPr>
          <w:p>
            <w:pPr>
              <w:spacing w:after="0"/>
            </w:pPr>
            <w:r>
              <w:rPr>
                <w:sz w:val="18"/>
              </w:rPr>
              <w:t>Medium</w:t>
            </w:r>
          </w:p>
        </w:tc>
        <w:tc>
          <w:tcPr>
            <w:tcW w:type="dxa" w:w="1840"/>
          </w:tcPr>
          <w:p>
            <w:pPr>
              <w:spacing w:after="0"/>
            </w:pPr>
            <w:hyperlink r:id="rId18">
              <w:r>
                <w:rPr>
                  <w:rFonts w:ascii="Arial" w:hAnsi="Arial"/>
                  <w:color w:val="0563C1"/>
                  <w:u w:val="single"/>
                  <w:sz w:val="18"/>
                </w:rPr>
                <w:t xml:space="preserve">CVE-2025-15284</w:t>
              </w:r>
            </w:hyperlink>
          </w:p>
        </w:tc>
        <w:tc>
          <w:tcPr>
            <w:tcW w:type="dxa" w:w="1404"/>
          </w:tcPr>
          <w:p>
            <w:pPr>
              <w:spacing w:after="0"/>
            </w:pPr>
            <w:r>
              <w:rPr>
                <w:sz w:val="18"/>
              </w:rPr>
              <w:t>qs 6.11.0</w:t>
            </w:r>
          </w:p>
        </w:tc>
        <w:tc>
          <w:tcPr>
            <w:tcW w:type="dxa" w:w="845"/>
          </w:tcPr>
          <w:p>
            <w:pPr>
              <w:spacing w:after="0"/>
            </w:pPr>
            <w:r>
              <w:rPr>
                <w:sz w:val="18"/>
              </w:rPr>
              <w:t>6.14.1</w:t>
            </w:r>
          </w:p>
        </w:tc>
        <w:tc>
          <w:tcPr>
            <w:tcW w:type="dxa" w:w="1340"/>
          </w:tcPr>
          <w:p>
            <w:pPr>
              <w:spacing w:after="0"/>
            </w:pPr>
            <w:r>
              <w:rPr>
                <w:sz w:val="18"/>
              </w:rPr>
              <w:t>sprout-companion</w:t>
            </w:r>
          </w:p>
        </w:tc>
        <w:tc>
          <w:tcPr>
            <w:tcW w:type="dxa" w:w="3143"/>
          </w:tcPr>
          <w:p>
            <w:pPr>
              <w:spacing w:after="0"/>
            </w:pPr>
            <w:r>
              <w:rPr>
                <w:sz w:val="18"/>
              </w:rPr>
              <w:t>qs's arrayLimit bypass in its bracket notation allows DoS via memory exhaustion</w:t>
            </w:r>
          </w:p>
        </w:tc>
      </w:tr>
      <w:tr>
        <w:tc>
          <w:tcPr>
            <w:tcW w:type="dxa" w:w="1066"/>
          </w:tcPr>
          <w:p>
            <w:pPr>
              <w:spacing w:after="0"/>
            </w:pPr>
            <w:r>
              <w:rPr>
                <w:sz w:val="18"/>
              </w:rPr>
              <w:t>Medium</w:t>
            </w:r>
          </w:p>
        </w:tc>
        <w:tc>
          <w:tcPr>
            <w:tcW w:type="dxa" w:w="1840"/>
          </w:tcPr>
          <w:p>
            <w:pPr>
              <w:spacing w:after="0"/>
            </w:pPr>
            <w:hyperlink r:id="rId19">
              <w:r>
                <w:rPr>
                  <w:rFonts w:ascii="Arial" w:hAnsi="Arial"/>
                  <w:color w:val="0563C1"/>
                  <w:u w:val="single"/>
                  <w:sz w:val="18"/>
                </w:rPr>
                <w:t xml:space="preserve">CVE-2026-82417</w:t>
              </w:r>
            </w:hyperlink>
          </w:p>
        </w:tc>
        <w:tc>
          <w:tcPr>
            <w:tcW w:type="dxa" w:w="1404"/>
          </w:tcPr>
          <w:p>
            <w:pPr>
              <w:spacing w:after="0"/>
            </w:pPr>
            <w:r>
              <w:rPr>
                <w:sz w:val="18"/>
              </w:rPr>
              <w:t>qs 6.11.0</w:t>
            </w:r>
          </w:p>
        </w:tc>
        <w:tc>
          <w:tcPr>
            <w:tcW w:type="dxa" w:w="845"/>
          </w:tcPr>
          <w:p>
            <w:pPr>
              <w:spacing w:after="0"/>
            </w:pPr>
            <w:r>
              <w:rPr>
                <w:sz w:val="18"/>
              </w:rPr>
              <w:t>6.16.0</w:t>
            </w:r>
          </w:p>
        </w:tc>
        <w:tc>
          <w:tcPr>
            <w:tcW w:type="dxa" w:w="1340"/>
          </w:tcPr>
          <w:p>
            <w:pPr>
              <w:spacing w:after="0"/>
            </w:pPr>
            <w:r>
              <w:rPr>
                <w:sz w:val="18"/>
              </w:rPr>
              <w:t>sprout-companion</w:t>
            </w:r>
          </w:p>
        </w:tc>
        <w:tc>
          <w:tcPr>
            <w:tcW w:type="dxa" w:w="3143"/>
          </w:tcPr>
          <w:p>
            <w:pPr>
              <w:spacing w:after="0"/>
            </w:pPr>
            <w:r>
              <w:rPr>
                <w:sz w:val="18"/>
              </w:rPr>
              <w:t>qs: Denial of Service via Attacker Controlled isBuffer</w:t>
            </w:r>
          </w:p>
        </w:tc>
      </w:tr>
      <w:tr>
        <w:tc>
          <w:tcPr>
            <w:tcW w:type="dxa" w:w="1066"/>
          </w:tcPr>
          <w:p>
            <w:pPr>
              <w:spacing w:after="0"/>
            </w:pPr>
            <w:r>
              <w:rPr>
                <w:sz w:val="18"/>
              </w:rPr>
              <w:t>Medium</w:t>
            </w:r>
          </w:p>
        </w:tc>
        <w:tc>
          <w:tcPr>
            <w:tcW w:type="dxa" w:w="1840"/>
          </w:tcPr>
          <w:p>
            <w:pPr>
              <w:spacing w:after="0"/>
            </w:pPr>
            <w:hyperlink r:id="rId20">
              <w:r>
                <w:rPr>
                  <w:rFonts w:ascii="Arial" w:hAnsi="Arial"/>
                  <w:color w:val="0563C1"/>
                  <w:u w:val="single"/>
                  <w:sz w:val="18"/>
                </w:rPr>
                <w:t xml:space="preserve">CVE-2024-35195</w:t>
              </w:r>
            </w:hyperlink>
          </w:p>
        </w:tc>
        <w:tc>
          <w:tcPr>
            <w:tcW w:type="dxa" w:w="1404"/>
          </w:tcPr>
          <w:p>
            <w:pPr>
              <w:spacing w:after="0"/>
            </w:pPr>
            <w:r>
              <w:rPr>
                <w:sz w:val="18"/>
              </w:rPr>
              <w:t>requests 2.31.0</w:t>
            </w:r>
          </w:p>
        </w:tc>
        <w:tc>
          <w:tcPr>
            <w:tcW w:type="dxa" w:w="845"/>
          </w:tcPr>
          <w:p>
            <w:pPr>
              <w:spacing w:after="0"/>
            </w:pPr>
            <w:r>
              <w:rPr>
                <w:sz w:val="18"/>
              </w:rPr>
              <w:t>2.32.0</w:t>
            </w:r>
          </w:p>
        </w:tc>
        <w:tc>
          <w:tcPr>
            <w:tcW w:type="dxa" w:w="1340"/>
          </w:tcPr>
          <w:p>
            <w:pPr>
              <w:spacing w:after="0"/>
            </w:pPr>
            <w:r>
              <w:rPr>
                <w:sz w:val="18"/>
              </w:rPr>
              <w:t>sprout-cloud</w:t>
            </w:r>
          </w:p>
        </w:tc>
        <w:tc>
          <w:tcPr>
            <w:tcW w:type="dxa" w:w="3143"/>
          </w:tcPr>
          <w:p>
            <w:pPr>
              <w:spacing w:after="0"/>
            </w:pPr>
            <w:r>
              <w:rPr>
                <w:sz w:val="18"/>
              </w:rPr>
              <w:t>Requests Session object does not verify requests after making first request with verify=False</w:t>
            </w:r>
          </w:p>
        </w:tc>
      </w:tr>
      <w:tr>
        <w:tc>
          <w:tcPr>
            <w:tcW w:type="dxa" w:w="1066"/>
          </w:tcPr>
          <w:p>
            <w:pPr>
              <w:spacing w:after="0"/>
            </w:pPr>
            <w:r>
              <w:rPr>
                <w:sz w:val="18"/>
              </w:rPr>
              <w:t>Medium</w:t>
            </w:r>
          </w:p>
        </w:tc>
        <w:tc>
          <w:tcPr>
            <w:tcW w:type="dxa" w:w="1840"/>
          </w:tcPr>
          <w:p>
            <w:pPr>
              <w:spacing w:after="0"/>
            </w:pPr>
            <w:hyperlink r:id="rId21">
              <w:r>
                <w:rPr>
                  <w:rFonts w:ascii="Arial" w:hAnsi="Arial"/>
                  <w:color w:val="0563C1"/>
                  <w:u w:val="single"/>
                  <w:sz w:val="18"/>
                </w:rPr>
                <w:t xml:space="preserve">CVE-2024-47081</w:t>
              </w:r>
            </w:hyperlink>
          </w:p>
        </w:tc>
        <w:tc>
          <w:tcPr>
            <w:tcW w:type="dxa" w:w="1404"/>
          </w:tcPr>
          <w:p>
            <w:pPr>
              <w:spacing w:after="0"/>
            </w:pPr>
            <w:r>
              <w:rPr>
                <w:sz w:val="18"/>
              </w:rPr>
              <w:t>requests 2.31.0</w:t>
            </w:r>
          </w:p>
        </w:tc>
        <w:tc>
          <w:tcPr>
            <w:tcW w:type="dxa" w:w="845"/>
          </w:tcPr>
          <w:p>
            <w:pPr>
              <w:spacing w:after="0"/>
            </w:pPr>
            <w:r>
              <w:rPr>
                <w:sz w:val="18"/>
              </w:rPr>
              <w:t>2.32.4</w:t>
            </w:r>
          </w:p>
        </w:tc>
        <w:tc>
          <w:tcPr>
            <w:tcW w:type="dxa" w:w="1340"/>
          </w:tcPr>
          <w:p>
            <w:pPr>
              <w:spacing w:after="0"/>
            </w:pPr>
            <w:r>
              <w:rPr>
                <w:sz w:val="18"/>
              </w:rPr>
              <w:t>sprout-cloud</w:t>
            </w:r>
          </w:p>
        </w:tc>
        <w:tc>
          <w:tcPr>
            <w:tcW w:type="dxa" w:w="3143"/>
          </w:tcPr>
          <w:p>
            <w:pPr>
              <w:spacing w:after="0"/>
            </w:pPr>
            <w:r>
              <w:rPr>
                <w:sz w:val="18"/>
              </w:rPr>
              <w:t>Requests vulnerable to .netrc credentials leak via malicious URLs</w:t>
            </w:r>
          </w:p>
        </w:tc>
      </w:tr>
      <w:tr>
        <w:tc>
          <w:tcPr>
            <w:tcW w:type="dxa" w:w="1066"/>
          </w:tcPr>
          <w:p>
            <w:pPr>
              <w:spacing w:after="0"/>
            </w:pPr>
            <w:r>
              <w:rPr>
                <w:sz w:val="18"/>
              </w:rPr>
              <w:t>Medium</w:t>
            </w:r>
          </w:p>
        </w:tc>
        <w:tc>
          <w:tcPr>
            <w:tcW w:type="dxa" w:w="1840"/>
          </w:tcPr>
          <w:p>
            <w:pPr>
              <w:spacing w:after="0"/>
            </w:pPr>
            <w:hyperlink r:id="rId22">
              <w:r>
                <w:rPr>
                  <w:rFonts w:ascii="Arial" w:hAnsi="Arial"/>
                  <w:color w:val="0563C1"/>
                  <w:u w:val="single"/>
                  <w:sz w:val="18"/>
                </w:rPr>
                <w:t xml:space="preserve">CVE-2026-25645</w:t>
              </w:r>
            </w:hyperlink>
          </w:p>
        </w:tc>
        <w:tc>
          <w:tcPr>
            <w:tcW w:type="dxa" w:w="1404"/>
          </w:tcPr>
          <w:p>
            <w:pPr>
              <w:spacing w:after="0"/>
            </w:pPr>
            <w:r>
              <w:rPr>
                <w:sz w:val="18"/>
              </w:rPr>
              <w:t>requests 2.31.0</w:t>
            </w:r>
          </w:p>
        </w:tc>
        <w:tc>
          <w:tcPr>
            <w:tcW w:type="dxa" w:w="845"/>
          </w:tcPr>
          <w:p>
            <w:pPr>
              <w:spacing w:after="0"/>
            </w:pPr>
            <w:r>
              <w:rPr>
                <w:sz w:val="18"/>
              </w:rPr>
              <w:t>2.33.0</w:t>
            </w:r>
          </w:p>
        </w:tc>
        <w:tc>
          <w:tcPr>
            <w:tcW w:type="dxa" w:w="1340"/>
          </w:tcPr>
          <w:p>
            <w:pPr>
              <w:spacing w:after="0"/>
            </w:pPr>
            <w:r>
              <w:rPr>
                <w:sz w:val="18"/>
              </w:rPr>
              <w:t>sprout-cloud</w:t>
            </w:r>
          </w:p>
        </w:tc>
        <w:tc>
          <w:tcPr>
            <w:tcW w:type="dxa" w:w="3143"/>
          </w:tcPr>
          <w:p>
            <w:pPr>
              <w:spacing w:after="0"/>
            </w:pPr>
            <w:r>
              <w:rPr>
                <w:sz w:val="18"/>
              </w:rPr>
              <w:t>Requests has Insecure Temp File Reuse in its extractzippedpaths() utility function</w:t>
            </w:r>
          </w:p>
        </w:tc>
      </w:tr>
      <w:tr>
        <w:tc>
          <w:tcPr>
            <w:tcW w:type="dxa" w:w="1066"/>
          </w:tcPr>
          <w:p>
            <w:pPr>
              <w:spacing w:after="0"/>
            </w:pPr>
            <w:r>
              <w:rPr>
                <w:sz w:val="18"/>
              </w:rPr>
              <w:t>Medium</w:t>
            </w:r>
          </w:p>
        </w:tc>
        <w:tc>
          <w:tcPr>
            <w:tcW w:type="dxa" w:w="1840"/>
          </w:tcPr>
          <w:p>
            <w:pPr>
              <w:spacing w:after="0"/>
            </w:pPr>
            <w:hyperlink r:id="rId23">
              <w:r>
                <w:rPr>
                  <w:rFonts w:ascii="Arial" w:hAnsi="Arial"/>
                  <w:color w:val="0563C1"/>
                  <w:u w:val="single"/>
                  <w:sz w:val="18"/>
                </w:rPr>
                <w:t xml:space="preserve">CVE-2024-49766</w:t>
              </w:r>
            </w:hyperlink>
          </w:p>
        </w:tc>
        <w:tc>
          <w:tcPr>
            <w:tcW w:type="dxa" w:w="1404"/>
          </w:tcPr>
          <w:p>
            <w:pPr>
              <w:spacing w:after="0"/>
            </w:pPr>
            <w:r>
              <w:rPr>
                <w:sz w:val="18"/>
              </w:rPr>
              <w:t>werkzeug 3.0.1</w:t>
            </w:r>
          </w:p>
        </w:tc>
        <w:tc>
          <w:tcPr>
            <w:tcW w:type="dxa" w:w="845"/>
          </w:tcPr>
          <w:p>
            <w:pPr>
              <w:spacing w:after="0"/>
            </w:pPr>
            <w:r>
              <w:rPr>
                <w:sz w:val="18"/>
              </w:rPr>
              <w:t>3.0.6</w:t>
            </w:r>
          </w:p>
        </w:tc>
        <w:tc>
          <w:tcPr>
            <w:tcW w:type="dxa" w:w="1340"/>
          </w:tcPr>
          <w:p>
            <w:pPr>
              <w:spacing w:after="0"/>
            </w:pPr>
            <w:r>
              <w:rPr>
                <w:sz w:val="18"/>
              </w:rPr>
              <w:t>sprout-cloud</w:t>
            </w:r>
          </w:p>
        </w:tc>
        <w:tc>
          <w:tcPr>
            <w:tcW w:type="dxa" w:w="3143"/>
          </w:tcPr>
          <w:p>
            <w:pPr>
              <w:spacing w:after="0"/>
            </w:pPr>
            <w:r>
              <w:rPr>
                <w:sz w:val="18"/>
              </w:rPr>
              <w:t>Werkzeug safejoin not safe on Windows</w:t>
            </w:r>
          </w:p>
        </w:tc>
      </w:tr>
      <w:tr>
        <w:tc>
          <w:tcPr>
            <w:tcW w:type="dxa" w:w="1066"/>
          </w:tcPr>
          <w:p>
            <w:pPr>
              <w:spacing w:after="0"/>
            </w:pPr>
            <w:r>
              <w:rPr>
                <w:sz w:val="18"/>
              </w:rPr>
              <w:t>Medium</w:t>
            </w:r>
          </w:p>
        </w:tc>
        <w:tc>
          <w:tcPr>
            <w:tcW w:type="dxa" w:w="1840"/>
          </w:tcPr>
          <w:p>
            <w:pPr>
              <w:spacing w:after="0"/>
            </w:pPr>
            <w:hyperlink r:id="rId24">
              <w:r>
                <w:rPr>
                  <w:rFonts w:ascii="Arial" w:hAnsi="Arial"/>
                  <w:color w:val="0563C1"/>
                  <w:u w:val="single"/>
                  <w:sz w:val="18"/>
                </w:rPr>
                <w:t xml:space="preserve">CVE-2024-49767</w:t>
              </w:r>
            </w:hyperlink>
          </w:p>
        </w:tc>
        <w:tc>
          <w:tcPr>
            <w:tcW w:type="dxa" w:w="1404"/>
          </w:tcPr>
          <w:p>
            <w:pPr>
              <w:spacing w:after="0"/>
            </w:pPr>
            <w:r>
              <w:rPr>
                <w:sz w:val="18"/>
              </w:rPr>
              <w:t>werkzeug 3.0.1</w:t>
            </w:r>
          </w:p>
        </w:tc>
        <w:tc>
          <w:tcPr>
            <w:tcW w:type="dxa" w:w="845"/>
          </w:tcPr>
          <w:p>
            <w:pPr>
              <w:spacing w:after="0"/>
            </w:pPr>
            <w:r>
              <w:rPr>
                <w:sz w:val="18"/>
              </w:rPr>
              <w:t>3.0.6</w:t>
            </w:r>
          </w:p>
        </w:tc>
        <w:tc>
          <w:tcPr>
            <w:tcW w:type="dxa" w:w="1340"/>
          </w:tcPr>
          <w:p>
            <w:pPr>
              <w:spacing w:after="0"/>
            </w:pPr>
            <w:r>
              <w:rPr>
                <w:sz w:val="18"/>
              </w:rPr>
              <w:t>sprout-cloud</w:t>
            </w:r>
          </w:p>
        </w:tc>
        <w:tc>
          <w:tcPr>
            <w:tcW w:type="dxa" w:w="3143"/>
          </w:tcPr>
          <w:p>
            <w:pPr>
              <w:spacing w:after="0"/>
            </w:pPr>
            <w:r>
              <w:rPr>
                <w:sz w:val="18"/>
              </w:rPr>
              <w:t>Werkzeug possible resource exhaustion when parsing file data in forms</w:t>
            </w:r>
          </w:p>
        </w:tc>
      </w:tr>
      <w:tr>
        <w:tc>
          <w:tcPr>
            <w:tcW w:type="dxa" w:w="1066"/>
          </w:tcPr>
          <w:p>
            <w:pPr>
              <w:spacing w:after="0"/>
            </w:pPr>
            <w:r>
              <w:rPr>
                <w:sz w:val="18"/>
              </w:rPr>
              <w:t>Medium</w:t>
            </w:r>
          </w:p>
        </w:tc>
        <w:tc>
          <w:tcPr>
            <w:tcW w:type="dxa" w:w="1840"/>
          </w:tcPr>
          <w:p>
            <w:pPr>
              <w:spacing w:after="0"/>
            </w:pPr>
            <w:hyperlink r:id="rId25">
              <w:r>
                <w:rPr>
                  <w:rFonts w:ascii="Arial" w:hAnsi="Arial"/>
                  <w:color w:val="0563C1"/>
                  <w:u w:val="single"/>
                  <w:sz w:val="18"/>
                </w:rPr>
                <w:t xml:space="preserve">CVE-2025-66221</w:t>
              </w:r>
            </w:hyperlink>
          </w:p>
        </w:tc>
        <w:tc>
          <w:tcPr>
            <w:tcW w:type="dxa" w:w="1404"/>
          </w:tcPr>
          <w:p>
            <w:pPr>
              <w:spacing w:after="0"/>
            </w:pPr>
            <w:r>
              <w:rPr>
                <w:sz w:val="18"/>
              </w:rPr>
              <w:t>werkzeug 3.0.1</w:t>
            </w:r>
          </w:p>
        </w:tc>
        <w:tc>
          <w:tcPr>
            <w:tcW w:type="dxa" w:w="845"/>
          </w:tcPr>
          <w:p>
            <w:pPr>
              <w:spacing w:after="0"/>
            </w:pPr>
            <w:r>
              <w:rPr>
                <w:sz w:val="18"/>
              </w:rPr>
              <w:t>3.1.4</w:t>
            </w:r>
          </w:p>
        </w:tc>
        <w:tc>
          <w:tcPr>
            <w:tcW w:type="dxa" w:w="1340"/>
          </w:tcPr>
          <w:p>
            <w:pPr>
              <w:spacing w:after="0"/>
            </w:pPr>
            <w:r>
              <w:rPr>
                <w:sz w:val="18"/>
              </w:rPr>
              <w:t>sprout-cloud</w:t>
            </w:r>
          </w:p>
        </w:tc>
        <w:tc>
          <w:tcPr>
            <w:tcW w:type="dxa" w:w="3143"/>
          </w:tcPr>
          <w:p>
            <w:pPr>
              <w:spacing w:after="0"/>
            </w:pPr>
            <w:r>
              <w:rPr>
                <w:sz w:val="18"/>
              </w:rPr>
              <w:t>Werkzeug safejoin() allows Windows special device names</w:t>
            </w:r>
          </w:p>
        </w:tc>
      </w:tr>
      <w:tr>
        <w:tc>
          <w:tcPr>
            <w:tcW w:type="dxa" w:w="1066"/>
          </w:tcPr>
          <w:p>
            <w:pPr>
              <w:spacing w:after="0"/>
            </w:pPr>
            <w:r>
              <w:rPr>
                <w:sz w:val="18"/>
              </w:rPr>
              <w:t>Medium</w:t>
            </w:r>
          </w:p>
        </w:tc>
        <w:tc>
          <w:tcPr>
            <w:tcW w:type="dxa" w:w="1840"/>
          </w:tcPr>
          <w:p>
            <w:pPr>
              <w:spacing w:after="0"/>
            </w:pPr>
            <w:hyperlink r:id="rId26">
              <w:r>
                <w:rPr>
                  <w:rFonts w:ascii="Arial" w:hAnsi="Arial"/>
                  <w:color w:val="0563C1"/>
                  <w:u w:val="single"/>
                  <w:sz w:val="18"/>
                </w:rPr>
                <w:t xml:space="preserve">CVE-2026-102598</w:t>
              </w:r>
            </w:hyperlink>
          </w:p>
        </w:tc>
        <w:tc>
          <w:tcPr>
            <w:tcW w:type="dxa" w:w="1404"/>
          </w:tcPr>
          <w:p>
            <w:pPr>
              <w:spacing w:after="0"/>
            </w:pPr>
            <w:r>
              <w:rPr>
                <w:sz w:val="18"/>
              </w:rPr>
              <w:t>werkzeug 3.0.1</w:t>
            </w:r>
          </w:p>
        </w:tc>
        <w:tc>
          <w:tcPr>
            <w:tcW w:type="dxa" w:w="845"/>
          </w:tcPr>
          <w:p>
            <w:pPr>
              <w:spacing w:after="0"/>
            </w:pPr>
            <w:r>
              <w:rPr>
                <w:sz w:val="18"/>
              </w:rPr>
              <w:t>3.1.9</w:t>
            </w:r>
          </w:p>
        </w:tc>
        <w:tc>
          <w:tcPr>
            <w:tcW w:type="dxa" w:w="1340"/>
          </w:tcPr>
          <w:p>
            <w:pPr>
              <w:spacing w:after="0"/>
            </w:pPr>
            <w:r>
              <w:rPr>
                <w:sz w:val="18"/>
              </w:rPr>
              <w:t>sprout-cloud</w:t>
            </w:r>
          </w:p>
        </w:tc>
        <w:tc>
          <w:tcPr>
            <w:tcW w:type="dxa" w:w="3143"/>
          </w:tcPr>
          <w:p>
            <w:pPr>
              <w:spacing w:after="0"/>
            </w:pPr>
            <w:r>
              <w:rPr>
                <w:sz w:val="18"/>
              </w:rPr>
              <w:t>Werkzeug safejoin() allows Windows special device names</w:t>
            </w:r>
          </w:p>
        </w:tc>
      </w:tr>
      <w:tr>
        <w:tc>
          <w:tcPr>
            <w:tcW w:type="dxa" w:w="1066"/>
          </w:tcPr>
          <w:p>
            <w:pPr>
              <w:spacing w:after="0"/>
            </w:pPr>
            <w:r>
              <w:rPr>
                <w:sz w:val="18"/>
              </w:rPr>
              <w:t>Medium</w:t>
            </w:r>
          </w:p>
        </w:tc>
        <w:tc>
          <w:tcPr>
            <w:tcW w:type="dxa" w:w="1840"/>
          </w:tcPr>
          <w:p>
            <w:pPr>
              <w:spacing w:after="0"/>
            </w:pPr>
            <w:hyperlink r:id="rId27">
              <w:r>
                <w:rPr>
                  <w:rFonts w:ascii="Arial" w:hAnsi="Arial"/>
                  <w:color w:val="0563C1"/>
                  <w:u w:val="single"/>
                  <w:sz w:val="18"/>
                </w:rPr>
                <w:t xml:space="preserve">CVE-2026-21860</w:t>
              </w:r>
            </w:hyperlink>
          </w:p>
        </w:tc>
        <w:tc>
          <w:tcPr>
            <w:tcW w:type="dxa" w:w="1404"/>
          </w:tcPr>
          <w:p>
            <w:pPr>
              <w:spacing w:after="0"/>
            </w:pPr>
            <w:r>
              <w:rPr>
                <w:sz w:val="18"/>
              </w:rPr>
              <w:t>werkzeug 3.0.1</w:t>
            </w:r>
          </w:p>
        </w:tc>
        <w:tc>
          <w:tcPr>
            <w:tcW w:type="dxa" w:w="845"/>
          </w:tcPr>
          <w:p>
            <w:pPr>
              <w:spacing w:after="0"/>
            </w:pPr>
            <w:r>
              <w:rPr>
                <w:sz w:val="18"/>
              </w:rPr>
              <w:t>3.1.5</w:t>
            </w:r>
          </w:p>
        </w:tc>
        <w:tc>
          <w:tcPr>
            <w:tcW w:type="dxa" w:w="1340"/>
          </w:tcPr>
          <w:p>
            <w:pPr>
              <w:spacing w:after="0"/>
            </w:pPr>
            <w:r>
              <w:rPr>
                <w:sz w:val="18"/>
              </w:rPr>
              <w:t>sprout-cloud</w:t>
            </w:r>
          </w:p>
        </w:tc>
        <w:tc>
          <w:tcPr>
            <w:tcW w:type="dxa" w:w="3143"/>
          </w:tcPr>
          <w:p>
            <w:pPr>
              <w:spacing w:after="0"/>
            </w:pPr>
            <w:r>
              <w:rPr>
                <w:sz w:val="18"/>
              </w:rPr>
              <w:t>Werkzeug safejoin() allows Windows special device names with compound extensions</w:t>
            </w:r>
          </w:p>
        </w:tc>
      </w:tr>
      <w:tr>
        <w:tc>
          <w:tcPr>
            <w:tcW w:type="dxa" w:w="1066"/>
          </w:tcPr>
          <w:p>
            <w:pPr>
              <w:spacing w:after="0"/>
            </w:pPr>
            <w:r>
              <w:rPr>
                <w:sz w:val="18"/>
              </w:rPr>
              <w:t>Medium</w:t>
            </w:r>
          </w:p>
        </w:tc>
        <w:tc>
          <w:tcPr>
            <w:tcW w:type="dxa" w:w="1840"/>
          </w:tcPr>
          <w:p>
            <w:pPr>
              <w:spacing w:after="0"/>
            </w:pPr>
            <w:hyperlink r:id="rId28">
              <w:r>
                <w:rPr>
                  <w:rFonts w:ascii="Arial" w:hAnsi="Arial"/>
                  <w:color w:val="0563C1"/>
                  <w:u w:val="single"/>
                  <w:sz w:val="18"/>
                </w:rPr>
                <w:t xml:space="preserve">CVE-2026-27199</w:t>
              </w:r>
            </w:hyperlink>
          </w:p>
        </w:tc>
        <w:tc>
          <w:tcPr>
            <w:tcW w:type="dxa" w:w="1404"/>
          </w:tcPr>
          <w:p>
            <w:pPr>
              <w:spacing w:after="0"/>
            </w:pPr>
            <w:r>
              <w:rPr>
                <w:sz w:val="18"/>
              </w:rPr>
              <w:t>werkzeug 3.0.1</w:t>
            </w:r>
          </w:p>
        </w:tc>
        <w:tc>
          <w:tcPr>
            <w:tcW w:type="dxa" w:w="845"/>
          </w:tcPr>
          <w:p>
            <w:pPr>
              <w:spacing w:after="0"/>
            </w:pPr>
            <w:r>
              <w:rPr>
                <w:sz w:val="18"/>
              </w:rPr>
              <w:t>3.1.6</w:t>
            </w:r>
          </w:p>
        </w:tc>
        <w:tc>
          <w:tcPr>
            <w:tcW w:type="dxa" w:w="1340"/>
          </w:tcPr>
          <w:p>
            <w:pPr>
              <w:spacing w:after="0"/>
            </w:pPr>
            <w:r>
              <w:rPr>
                <w:sz w:val="18"/>
              </w:rPr>
              <w:t>sprout-cloud</w:t>
            </w:r>
          </w:p>
        </w:tc>
        <w:tc>
          <w:tcPr>
            <w:tcW w:type="dxa" w:w="3143"/>
          </w:tcPr>
          <w:p>
            <w:pPr>
              <w:spacing w:after="0"/>
            </w:pPr>
            <w:r>
              <w:rPr>
                <w:sz w:val="18"/>
              </w:rPr>
              <w:t>Werkzeug safejoin() allows Windows special device names</w:t>
            </w:r>
          </w:p>
        </w:tc>
      </w:tr>
      <w:tr>
        <w:tc>
          <w:tcPr>
            <w:tcW w:type="dxa" w:w="1066"/>
          </w:tcPr>
          <w:p>
            <w:pPr>
              <w:spacing w:after="0"/>
            </w:pPr>
            <w:r>
              <w:rPr>
                <w:sz w:val="18"/>
              </w:rPr>
              <w:t>Low</w:t>
            </w:r>
          </w:p>
        </w:tc>
        <w:tc>
          <w:tcPr>
            <w:tcW w:type="dxa" w:w="1840"/>
          </w:tcPr>
          <w:p>
            <w:pPr>
              <w:spacing w:after="0"/>
            </w:pPr>
            <w:hyperlink r:id="rId29">
              <w:r>
                <w:rPr>
                  <w:rFonts w:ascii="Arial" w:hAnsi="Arial"/>
                  <w:color w:val="0563C1"/>
                  <w:u w:val="single"/>
                  <w:sz w:val="18"/>
                </w:rPr>
                <w:t xml:space="preserve">CVE-2026-12590</w:t>
              </w:r>
            </w:hyperlink>
          </w:p>
        </w:tc>
        <w:tc>
          <w:tcPr>
            <w:tcW w:type="dxa" w:w="1404"/>
          </w:tcPr>
          <w:p>
            <w:pPr>
              <w:spacing w:after="0"/>
            </w:pPr>
            <w:r>
              <w:rPr>
                <w:sz w:val="18"/>
              </w:rPr>
              <w:t>body-parser 1.20.1</w:t>
            </w:r>
          </w:p>
        </w:tc>
        <w:tc>
          <w:tcPr>
            <w:tcW w:type="dxa" w:w="845"/>
          </w:tcPr>
          <w:p>
            <w:pPr>
              <w:spacing w:after="0"/>
            </w:pPr>
            <w:r>
              <w:rPr>
                <w:sz w:val="18"/>
              </w:rPr>
              <w:t>1.20.6</w:t>
            </w:r>
          </w:p>
        </w:tc>
        <w:tc>
          <w:tcPr>
            <w:tcW w:type="dxa" w:w="1340"/>
          </w:tcPr>
          <w:p>
            <w:pPr>
              <w:spacing w:after="0"/>
            </w:pPr>
            <w:r>
              <w:rPr>
                <w:sz w:val="18"/>
              </w:rPr>
              <w:t>sprout-companion</w:t>
            </w:r>
          </w:p>
        </w:tc>
        <w:tc>
          <w:tcPr>
            <w:tcW w:type="dxa" w:w="3143"/>
          </w:tcPr>
          <w:p>
            <w:pPr>
              <w:spacing w:after="0"/>
            </w:pPr>
            <w:r>
              <w:rPr>
                <w:sz w:val="18"/>
              </w:rPr>
              <w:t>body-parser vulnerable to denial of service when invalid limit value silently disables size enforcement</w:t>
            </w:r>
          </w:p>
        </w:tc>
      </w:tr>
      <w:tr>
        <w:tc>
          <w:tcPr>
            <w:tcW w:type="dxa" w:w="1066"/>
          </w:tcPr>
          <w:p>
            <w:pPr>
              <w:spacing w:after="0"/>
            </w:pPr>
            <w:r>
              <w:rPr>
                <w:sz w:val="18"/>
              </w:rPr>
              <w:t>Low</w:t>
            </w:r>
          </w:p>
        </w:tc>
        <w:tc>
          <w:tcPr>
            <w:tcW w:type="dxa" w:w="1840"/>
          </w:tcPr>
          <w:p>
            <w:pPr>
              <w:spacing w:after="0"/>
            </w:pPr>
            <w:hyperlink r:id="rId30">
              <w:r>
                <w:rPr>
                  <w:rFonts w:ascii="Arial" w:hAnsi="Arial"/>
                  <w:color w:val="0563C1"/>
                  <w:u w:val="single"/>
                  <w:sz w:val="18"/>
                </w:rPr>
                <w:t xml:space="preserve">CVE-2024-47764</w:t>
              </w:r>
            </w:hyperlink>
          </w:p>
        </w:tc>
        <w:tc>
          <w:tcPr>
            <w:tcW w:type="dxa" w:w="1404"/>
          </w:tcPr>
          <w:p>
            <w:pPr>
              <w:spacing w:after="0"/>
            </w:pPr>
            <w:r>
              <w:rPr>
                <w:sz w:val="18"/>
              </w:rPr>
              <w:t>cookie 0.5.0</w:t>
            </w:r>
          </w:p>
        </w:tc>
        <w:tc>
          <w:tcPr>
            <w:tcW w:type="dxa" w:w="845"/>
          </w:tcPr>
          <w:p>
            <w:pPr>
              <w:spacing w:after="0"/>
            </w:pPr>
            <w:r>
              <w:rPr>
                <w:sz w:val="18"/>
              </w:rPr>
              <w:t>0.7.0</w:t>
            </w:r>
          </w:p>
        </w:tc>
        <w:tc>
          <w:tcPr>
            <w:tcW w:type="dxa" w:w="1340"/>
          </w:tcPr>
          <w:p>
            <w:pPr>
              <w:spacing w:after="0"/>
            </w:pPr>
            <w:r>
              <w:rPr>
                <w:sz w:val="18"/>
              </w:rPr>
              <w:t>sprout-companion</w:t>
            </w:r>
          </w:p>
        </w:tc>
        <w:tc>
          <w:tcPr>
            <w:tcW w:type="dxa" w:w="3143"/>
          </w:tcPr>
          <w:p>
            <w:pPr>
              <w:spacing w:after="0"/>
            </w:pPr>
            <w:r>
              <w:rPr>
                <w:sz w:val="18"/>
              </w:rPr>
              <w:t>cookie accepts cookie name, path, and domain with out of bounds characters</w:t>
            </w:r>
          </w:p>
        </w:tc>
      </w:tr>
      <w:tr>
        <w:tc>
          <w:tcPr>
            <w:tcW w:type="dxa" w:w="1066"/>
          </w:tcPr>
          <w:p>
            <w:pPr>
              <w:spacing w:after="0"/>
            </w:pPr>
            <w:r>
              <w:rPr>
                <w:sz w:val="18"/>
              </w:rPr>
              <w:t>Low</w:t>
            </w:r>
          </w:p>
        </w:tc>
        <w:tc>
          <w:tcPr>
            <w:tcW w:type="dxa" w:w="1840"/>
          </w:tcPr>
          <w:p>
            <w:pPr>
              <w:spacing w:after="0"/>
            </w:pPr>
            <w:hyperlink r:id="rId31">
              <w:r>
                <w:rPr>
                  <w:rFonts w:ascii="Arial" w:hAnsi="Arial"/>
                  <w:color w:val="0563C1"/>
                  <w:u w:val="single"/>
                  <w:sz w:val="18"/>
                </w:rPr>
                <w:t xml:space="preserve">CVE-2024-43796</w:t>
              </w:r>
            </w:hyperlink>
          </w:p>
        </w:tc>
        <w:tc>
          <w:tcPr>
            <w:tcW w:type="dxa" w:w="1404"/>
          </w:tcPr>
          <w:p>
            <w:pPr>
              <w:spacing w:after="0"/>
            </w:pPr>
            <w:r>
              <w:rPr>
                <w:sz w:val="18"/>
              </w:rPr>
              <w:t>express 4.18.2</w:t>
            </w:r>
          </w:p>
        </w:tc>
        <w:tc>
          <w:tcPr>
            <w:tcW w:type="dxa" w:w="845"/>
          </w:tcPr>
          <w:p>
            <w:pPr>
              <w:spacing w:after="0"/>
            </w:pPr>
            <w:r>
              <w:rPr>
                <w:sz w:val="18"/>
              </w:rPr>
              <w:t>4.20.0</w:t>
            </w:r>
          </w:p>
        </w:tc>
        <w:tc>
          <w:tcPr>
            <w:tcW w:type="dxa" w:w="1340"/>
          </w:tcPr>
          <w:p>
            <w:pPr>
              <w:spacing w:after="0"/>
            </w:pPr>
            <w:r>
              <w:rPr>
                <w:sz w:val="18"/>
              </w:rPr>
              <w:t>sprout-companion</w:t>
            </w:r>
          </w:p>
        </w:tc>
        <w:tc>
          <w:tcPr>
            <w:tcW w:type="dxa" w:w="3143"/>
          </w:tcPr>
          <w:p>
            <w:pPr>
              <w:spacing w:after="0"/>
            </w:pPr>
            <w:r>
              <w:rPr>
                <w:sz w:val="18"/>
              </w:rPr>
              <w:t>express vulnerable to XSS via response.redirect()</w:t>
            </w:r>
          </w:p>
        </w:tc>
      </w:tr>
      <w:tr>
        <w:tc>
          <w:tcPr>
            <w:tcW w:type="dxa" w:w="1066"/>
          </w:tcPr>
          <w:p>
            <w:pPr>
              <w:spacing w:after="0"/>
            </w:pPr>
            <w:r>
              <w:rPr>
                <w:sz w:val="18"/>
              </w:rPr>
              <w:t>Low</w:t>
            </w:r>
          </w:p>
        </w:tc>
        <w:tc>
          <w:tcPr>
            <w:tcW w:type="dxa" w:w="1840"/>
          </w:tcPr>
          <w:p>
            <w:pPr>
              <w:spacing w:after="0"/>
            </w:pPr>
            <w:hyperlink r:id="rId32">
              <w:r>
                <w:rPr>
                  <w:rFonts w:ascii="Arial" w:hAnsi="Arial"/>
                  <w:color w:val="0563C1"/>
                  <w:u w:val="single"/>
                  <w:sz w:val="18"/>
                </w:rPr>
                <w:t xml:space="preserve">CVE-2026-27205</w:t>
              </w:r>
            </w:hyperlink>
          </w:p>
        </w:tc>
        <w:tc>
          <w:tcPr>
            <w:tcW w:type="dxa" w:w="1404"/>
          </w:tcPr>
          <w:p>
            <w:pPr>
              <w:spacing w:after="0"/>
            </w:pPr>
            <w:r>
              <w:rPr>
                <w:sz w:val="18"/>
              </w:rPr>
              <w:t>flask 2.3.2</w:t>
            </w:r>
          </w:p>
        </w:tc>
        <w:tc>
          <w:tcPr>
            <w:tcW w:type="dxa" w:w="845"/>
          </w:tcPr>
          <w:p>
            <w:pPr>
              <w:spacing w:after="0"/>
            </w:pPr>
            <w:r>
              <w:rPr>
                <w:sz w:val="18"/>
              </w:rPr>
              <w:t>3.1.3</w:t>
            </w:r>
          </w:p>
        </w:tc>
        <w:tc>
          <w:tcPr>
            <w:tcW w:type="dxa" w:w="1340"/>
          </w:tcPr>
          <w:p>
            <w:pPr>
              <w:spacing w:after="0"/>
            </w:pPr>
            <w:r>
              <w:rPr>
                <w:sz w:val="18"/>
              </w:rPr>
              <w:t>sprout-cloud</w:t>
            </w:r>
          </w:p>
        </w:tc>
        <w:tc>
          <w:tcPr>
            <w:tcW w:type="dxa" w:w="3143"/>
          </w:tcPr>
          <w:p>
            <w:pPr>
              <w:spacing w:after="0"/>
            </w:pPr>
            <w:r>
              <w:rPr>
                <w:sz w:val="18"/>
              </w:rPr>
              <w:t>Flask session does not add Vary: Cookie header when accessed in some ways</w:t>
            </w:r>
          </w:p>
        </w:tc>
      </w:tr>
      <w:tr>
        <w:tc>
          <w:tcPr>
            <w:tcW w:type="dxa" w:w="1066"/>
          </w:tcPr>
          <w:p>
            <w:pPr>
              <w:spacing w:after="0"/>
            </w:pPr>
            <w:r>
              <w:rPr>
                <w:sz w:val="18"/>
              </w:rPr>
              <w:t>Low</w:t>
            </w:r>
          </w:p>
        </w:tc>
        <w:tc>
          <w:tcPr>
            <w:tcW w:type="dxa" w:w="1840"/>
          </w:tcPr>
          <w:p>
            <w:pPr>
              <w:spacing w:after="0"/>
            </w:pPr>
            <w:hyperlink r:id="rId33">
              <w:r>
                <w:rPr>
                  <w:rFonts w:ascii="Arial" w:hAnsi="Arial"/>
                  <w:color w:val="0563C1"/>
                  <w:u w:val="single"/>
                  <w:sz w:val="18"/>
                </w:rPr>
                <w:t xml:space="preserve">CVE-2026-2391</w:t>
              </w:r>
            </w:hyperlink>
          </w:p>
        </w:tc>
        <w:tc>
          <w:tcPr>
            <w:tcW w:type="dxa" w:w="1404"/>
          </w:tcPr>
          <w:p>
            <w:pPr>
              <w:spacing w:after="0"/>
            </w:pPr>
            <w:r>
              <w:rPr>
                <w:sz w:val="18"/>
              </w:rPr>
              <w:t>qs 6.11.0</w:t>
            </w:r>
          </w:p>
        </w:tc>
        <w:tc>
          <w:tcPr>
            <w:tcW w:type="dxa" w:w="845"/>
          </w:tcPr>
          <w:p>
            <w:pPr>
              <w:spacing w:after="0"/>
            </w:pPr>
            <w:r>
              <w:rPr>
                <w:sz w:val="18"/>
              </w:rPr>
              <w:t>6.14.2</w:t>
            </w:r>
          </w:p>
        </w:tc>
        <w:tc>
          <w:tcPr>
            <w:tcW w:type="dxa" w:w="1340"/>
          </w:tcPr>
          <w:p>
            <w:pPr>
              <w:spacing w:after="0"/>
            </w:pPr>
            <w:r>
              <w:rPr>
                <w:sz w:val="18"/>
              </w:rPr>
              <w:t>sprout-companion</w:t>
            </w:r>
          </w:p>
        </w:tc>
        <w:tc>
          <w:tcPr>
            <w:tcW w:type="dxa" w:w="3143"/>
          </w:tcPr>
          <w:p>
            <w:pPr>
              <w:spacing w:after="0"/>
            </w:pPr>
            <w:r>
              <w:rPr>
                <w:sz w:val="18"/>
              </w:rPr>
              <w:t>qs's arrayLimit bypass in comma parsing allows denial of service</w:t>
            </w:r>
          </w:p>
        </w:tc>
      </w:tr>
      <w:tr>
        <w:tc>
          <w:tcPr>
            <w:tcW w:type="dxa" w:w="1066"/>
          </w:tcPr>
          <w:p>
            <w:pPr>
              <w:spacing w:after="0"/>
            </w:pPr>
            <w:r>
              <w:rPr>
                <w:sz w:val="18"/>
              </w:rPr>
              <w:t>Low</w:t>
            </w:r>
          </w:p>
        </w:tc>
        <w:tc>
          <w:tcPr>
            <w:tcW w:type="dxa" w:w="1840"/>
          </w:tcPr>
          <w:p>
            <w:pPr>
              <w:spacing w:after="0"/>
            </w:pPr>
            <w:hyperlink r:id="rId34">
              <w:r>
                <w:rPr>
                  <w:rFonts w:ascii="Arial" w:hAnsi="Arial"/>
                  <w:color w:val="0563C1"/>
                  <w:u w:val="single"/>
                  <w:sz w:val="18"/>
                </w:rPr>
                <w:t xml:space="preserve">CVE-2024-43799</w:t>
              </w:r>
            </w:hyperlink>
          </w:p>
        </w:tc>
        <w:tc>
          <w:tcPr>
            <w:tcW w:type="dxa" w:w="1404"/>
          </w:tcPr>
          <w:p>
            <w:pPr>
              <w:spacing w:after="0"/>
            </w:pPr>
            <w:r>
              <w:rPr>
                <w:sz w:val="18"/>
              </w:rPr>
              <w:t>send 0.18.0</w:t>
            </w:r>
          </w:p>
        </w:tc>
        <w:tc>
          <w:tcPr>
            <w:tcW w:type="dxa" w:w="845"/>
          </w:tcPr>
          <w:p>
            <w:pPr>
              <w:spacing w:after="0"/>
            </w:pPr>
            <w:r>
              <w:rPr>
                <w:sz w:val="18"/>
              </w:rPr>
              <w:t>0.19.0</w:t>
            </w:r>
          </w:p>
        </w:tc>
        <w:tc>
          <w:tcPr>
            <w:tcW w:type="dxa" w:w="1340"/>
          </w:tcPr>
          <w:p>
            <w:pPr>
              <w:spacing w:after="0"/>
            </w:pPr>
            <w:r>
              <w:rPr>
                <w:sz w:val="18"/>
              </w:rPr>
              <w:t>sprout-companion</w:t>
            </w:r>
          </w:p>
        </w:tc>
        <w:tc>
          <w:tcPr>
            <w:tcW w:type="dxa" w:w="3143"/>
          </w:tcPr>
          <w:p>
            <w:pPr>
              <w:spacing w:after="0"/>
            </w:pPr>
            <w:r>
              <w:rPr>
                <w:sz w:val="18"/>
              </w:rPr>
              <w:t>send vulnerable to template injection that can lead to XSS</w:t>
            </w:r>
          </w:p>
        </w:tc>
      </w:tr>
      <w:tr>
        <w:tc>
          <w:tcPr>
            <w:tcW w:type="dxa" w:w="1066"/>
          </w:tcPr>
          <w:p>
            <w:pPr>
              <w:spacing w:after="0"/>
            </w:pPr>
            <w:r>
              <w:rPr>
                <w:sz w:val="18"/>
              </w:rPr>
              <w:t>Low</w:t>
            </w:r>
          </w:p>
        </w:tc>
        <w:tc>
          <w:tcPr>
            <w:tcW w:type="dxa" w:w="1840"/>
          </w:tcPr>
          <w:p>
            <w:pPr>
              <w:spacing w:after="0"/>
            </w:pPr>
            <w:hyperlink r:id="rId35">
              <w:r>
                <w:rPr>
                  <w:rFonts w:ascii="Arial" w:hAnsi="Arial"/>
                  <w:color w:val="0563C1"/>
                  <w:u w:val="single"/>
                  <w:sz w:val="18"/>
                </w:rPr>
                <w:t xml:space="preserve">CVE-2024-43800</w:t>
              </w:r>
            </w:hyperlink>
          </w:p>
        </w:tc>
        <w:tc>
          <w:tcPr>
            <w:tcW w:type="dxa" w:w="1404"/>
          </w:tcPr>
          <w:p>
            <w:pPr>
              <w:spacing w:after="0"/>
            </w:pPr>
            <w:r>
              <w:rPr>
                <w:sz w:val="18"/>
              </w:rPr>
              <w:t>serve-static 1.15.0</w:t>
            </w:r>
          </w:p>
        </w:tc>
        <w:tc>
          <w:tcPr>
            <w:tcW w:type="dxa" w:w="845"/>
          </w:tcPr>
          <w:p>
            <w:pPr>
              <w:spacing w:after="0"/>
            </w:pPr>
            <w:r>
              <w:rPr>
                <w:sz w:val="18"/>
              </w:rPr>
              <w:t>1.16.0</w:t>
            </w:r>
          </w:p>
        </w:tc>
        <w:tc>
          <w:tcPr>
            <w:tcW w:type="dxa" w:w="1340"/>
          </w:tcPr>
          <w:p>
            <w:pPr>
              <w:spacing w:after="0"/>
            </w:pPr>
            <w:r>
              <w:rPr>
                <w:sz w:val="18"/>
              </w:rPr>
              <w:t>sprout-companion</w:t>
            </w:r>
          </w:p>
        </w:tc>
        <w:tc>
          <w:tcPr>
            <w:tcW w:type="dxa" w:w="3143"/>
          </w:tcPr>
          <w:p>
            <w:pPr>
              <w:spacing w:after="0"/>
            </w:pPr>
            <w:r>
              <w:rPr>
                <w:sz w:val="18"/>
              </w:rPr>
              <w:t>serve-static vulnerable to template injection that can lead to XSS</w:t>
            </w:r>
          </w:p>
        </w:tc>
      </w:tr>
    </w:tbl>
    <w:p>
      <w:pPr>
        <w:spacing w:after="40"/>
      </w:pPr>
    </w:p>
    <w:p>
      <w:pPr>
        <w:pStyle w:val="Heading2"/>
      </w:pPr>
      <w:r>
        <w:rPr/>
        <w:t>Components that need a manual check</w:t>
      </w:r>
    </w:p>
    <w:tbl>
      <w:tblPr>
        <w:tblStyle w:val="TableGrid"/>
        <w:tblW w:type="auto" w:w="0"/>
        <w:tblLayout w:type="fixed"/>
        <w:tblLook w:firstColumn="1" w:firstRow="1" w:lastColumn="0" w:lastRow="0" w:noHBand="0" w:noVBand="1" w:val="04A0"/>
      </w:tblPr>
      <w:tblGrid>
        <w:gridCol w:w="1599"/>
        <w:gridCol w:w="955"/>
        <w:gridCol w:w="956"/>
        <w:gridCol w:w="2588"/>
        <w:gridCol w:w="3539"/>
      </w:tblGrid>
      <w:tr>
        <w:trPr>
          <w:tblHeader w:val="true"/>
        </w:trPr>
        <w:tc>
          <w:tcPr>
            <w:tcW w:type="dxa" w:w="1599"/>
            <w:shd w:val="clear" w:color="auto" w:fill="D9E2F3"/>
          </w:tcPr>
          <w:p>
            <w:pPr>
              <w:spacing w:after="0"/>
            </w:pPr>
            <w:r>
              <w:rPr>
                <w:b/>
                <w:sz w:val="18"/>
              </w:rPr>
              <w:t>Component</w:t>
            </w:r>
          </w:p>
        </w:tc>
        <w:tc>
          <w:tcPr>
            <w:tcW w:type="dxa" w:w="955"/>
            <w:shd w:val="clear" w:color="auto" w:fill="D9E2F3"/>
          </w:tcPr>
          <w:p>
            <w:pPr>
              <w:spacing w:after="0"/>
            </w:pPr>
            <w:r>
              <w:rPr>
                <w:b/>
                <w:sz w:val="18"/>
              </w:rPr>
              <w:t>Version</w:t>
            </w:r>
          </w:p>
        </w:tc>
        <w:tc>
          <w:tcPr>
            <w:tcW w:type="dxa" w:w="956"/>
            <w:shd w:val="clear" w:color="auto" w:fill="D9E2F3"/>
          </w:tcPr>
          <w:p>
            <w:pPr>
              <w:spacing w:after="0"/>
            </w:pPr>
            <w:r>
              <w:rPr>
                <w:b/>
                <w:sz w:val="18"/>
              </w:rPr>
              <w:t>Part</w:t>
            </w:r>
          </w:p>
        </w:tc>
        <w:tc>
          <w:tcPr>
            <w:tcW w:type="dxa" w:w="2588"/>
            <w:shd w:val="clear" w:color="auto" w:fill="D9E2F3"/>
          </w:tcPr>
          <w:p>
            <w:pPr>
              <w:spacing w:after="0"/>
            </w:pPr>
            <w:r>
              <w:rPr>
                <w:b/>
                <w:sz w:val="18"/>
              </w:rPr>
              <w:t>Why</w:t>
            </w:r>
          </w:p>
        </w:tc>
        <w:tc>
          <w:tcPr>
            <w:tcW w:type="dxa" w:w="3539"/>
            <w:shd w:val="clear" w:color="auto" w:fill="D9E2F3"/>
          </w:tcPr>
          <w:p>
            <w:pPr>
              <w:spacing w:after="0"/>
            </w:pPr>
            <w:r>
              <w:rPr>
                <w:b/>
                <w:sz w:val="18"/>
              </w:rPr>
              <w:t>Where to look</w:t>
            </w:r>
          </w:p>
        </w:tc>
      </w:tr>
      <w:tr>
        <w:tc>
          <w:tcPr>
            <w:tcW w:type="dxa" w:w="1599"/>
          </w:tcPr>
          <w:p>
            <w:pPr>
              <w:spacing w:after="0"/>
            </w:pPr>
            <w:r>
              <w:rPr>
                <w:sz w:val="18"/>
              </w:rPr>
              <w:t>ESP-IDF</w:t>
            </w:r>
          </w:p>
        </w:tc>
        <w:tc>
          <w:tcPr>
            <w:tcW w:type="dxa" w:w="955"/>
          </w:tcPr>
          <w:p>
            <w:pPr>
              <w:spacing w:after="0"/>
            </w:pPr>
            <w:r>
              <w:rPr>
                <w:sz w:val="18"/>
              </w:rPr>
              <w:t>5.1.2</w:t>
            </w:r>
          </w:p>
        </w:tc>
        <w:tc>
          <w:tcPr>
            <w:tcW w:type="dxa" w:w="956"/>
          </w:tcPr>
          <w:p>
            <w:pPr>
              <w:spacing w:after="0"/>
            </w:pPr>
            <w:r>
              <w:rPr>
                <w:sz w:val="18"/>
              </w:rPr>
              <w:t>sprout-fw</w:t>
            </w:r>
          </w:p>
        </w:tc>
        <w:tc>
          <w:tcPr>
            <w:tcW w:type="dxa" w:w="2588"/>
          </w:tcPr>
          <w:p>
            <w:pPr>
              <w:spacing w:after="0"/>
            </w:pPr>
            <w:r>
              <w:rPr>
                <w:sz w:val="18"/>
              </w:rPr>
              <w:t>Listed by hand: no automatic database covers it reliably.</w:t>
            </w:r>
          </w:p>
        </w:tc>
        <w:tc>
          <w:tcPr>
            <w:tcW w:type="dxa" w:w="3539"/>
          </w:tcPr>
          <w:p>
            <w:pPr>
              <w:spacing w:after="0"/>
            </w:pPr>
            <w:hyperlink r:id="rId36">
              <w:r>
                <w:rPr>
                  <w:rFonts w:ascii="Arial" w:hAnsi="Arial"/>
                  <w:color w:val="0563C1"/>
                  <w:u w:val="single"/>
                  <w:sz w:val="18"/>
                </w:rPr>
                <w:t xml:space="preserve">https://github.com/espressif/esp-idf/security/advisories</w:t>
              </w:r>
            </w:hyperlink>
          </w:p>
        </w:tc>
      </w:tr>
      <w:tr>
        <w:tc>
          <w:tcPr>
            <w:tcW w:type="dxa" w:w="1599"/>
          </w:tcPr>
          <w:p>
            <w:pPr>
              <w:spacing w:after="0"/>
            </w:pPr>
            <w:r>
              <w:rPr>
                <w:sz w:val="18"/>
              </w:rPr>
              <w:t>FreeRTOS kernel (ESP-IDF port)</w:t>
            </w:r>
          </w:p>
        </w:tc>
        <w:tc>
          <w:tcPr>
            <w:tcW w:type="dxa" w:w="955"/>
          </w:tcPr>
          <w:p>
            <w:pPr>
              <w:spacing w:after="0"/>
            </w:pPr>
            <w:r>
              <w:rPr>
                <w:sz w:val="18"/>
              </w:rPr>
              <w:t>10.4.3</w:t>
            </w:r>
          </w:p>
        </w:tc>
        <w:tc>
          <w:tcPr>
            <w:tcW w:type="dxa" w:w="956"/>
          </w:tcPr>
          <w:p>
            <w:pPr>
              <w:spacing w:after="0"/>
            </w:pPr>
            <w:r>
              <w:rPr>
                <w:sz w:val="18"/>
              </w:rPr>
              <w:t>sprout-fw</w:t>
            </w:r>
          </w:p>
        </w:tc>
        <w:tc>
          <w:tcPr>
            <w:tcW w:type="dxa" w:w="2588"/>
          </w:tcPr>
          <w:p>
            <w:pPr>
              <w:spacing w:after="0"/>
            </w:pPr>
            <w:r>
              <w:rPr>
                <w:sz w:val="18"/>
              </w:rPr>
              <w:t>Listed by hand: no automatic database covers it reliably.</w:t>
            </w:r>
          </w:p>
        </w:tc>
        <w:tc>
          <w:tcPr>
            <w:tcW w:type="dxa" w:w="3539"/>
          </w:tcPr>
          <w:p>
            <w:pPr>
              <w:spacing w:after="0"/>
            </w:pPr>
            <w:hyperlink r:id="rId37">
              <w:r>
                <w:rPr>
                  <w:rFonts w:ascii="Arial" w:hAnsi="Arial"/>
                  <w:color w:val="0563C1"/>
                  <w:u w:val="single"/>
                  <w:sz w:val="18"/>
                </w:rPr>
                <w:t xml:space="preserve">https://github.com/espressif/esp-idf/tree/v5.1.2/components/freertos</w:t>
              </w:r>
            </w:hyperlink>
          </w:p>
        </w:tc>
      </w:tr>
      <w:tr>
        <w:tc>
          <w:tcPr>
            <w:tcW w:type="dxa" w:w="1599"/>
          </w:tcPr>
          <w:p>
            <w:pPr>
              <w:spacing w:after="0"/>
            </w:pPr>
            <w:r>
              <w:rPr>
                <w:sz w:val="18"/>
              </w:rPr>
              <w:t>Mbed TLS</w:t>
            </w:r>
          </w:p>
        </w:tc>
        <w:tc>
          <w:tcPr>
            <w:tcW w:type="dxa" w:w="955"/>
          </w:tcPr>
          <w:p>
            <w:pPr>
              <w:spacing w:after="0"/>
            </w:pPr>
            <w:r>
              <w:rPr>
                <w:sz w:val="18"/>
              </w:rPr>
              <w:t>3.4.1</w:t>
            </w:r>
          </w:p>
        </w:tc>
        <w:tc>
          <w:tcPr>
            <w:tcW w:type="dxa" w:w="956"/>
          </w:tcPr>
          <w:p>
            <w:pPr>
              <w:spacing w:after="0"/>
            </w:pPr>
            <w:r>
              <w:rPr>
                <w:sz w:val="18"/>
              </w:rPr>
              <w:t>sprout-fw</w:t>
            </w:r>
          </w:p>
        </w:tc>
        <w:tc>
          <w:tcPr>
            <w:tcW w:type="dxa" w:w="2588"/>
          </w:tcPr>
          <w:p>
            <w:pPr>
              <w:spacing w:after="0"/>
            </w:pPr>
            <w:r>
              <w:rPr>
                <w:sz w:val="18"/>
              </w:rPr>
              <w:t>Listed by hand: no automatic database covers it reliably.</w:t>
            </w:r>
          </w:p>
        </w:tc>
        <w:tc>
          <w:tcPr>
            <w:tcW w:type="dxa" w:w="3539"/>
          </w:tcPr>
          <w:p>
            <w:pPr>
              <w:spacing w:after="0"/>
            </w:pPr>
            <w:hyperlink r:id="rId38">
              <w:r>
                <w:rPr>
                  <w:rFonts w:ascii="Arial" w:hAnsi="Arial"/>
                  <w:color w:val="0563C1"/>
                  <w:u w:val="single"/>
                  <w:sz w:val="18"/>
                </w:rPr>
                <w:t xml:space="preserve">https://github.com/Mbed-TLS/mbedtls/security/advisories</w:t>
              </w:r>
            </w:hyperlink>
          </w:p>
        </w:tc>
      </w:tr>
      <w:tr>
        <w:tc>
          <w:tcPr>
            <w:tcW w:type="dxa" w:w="1599"/>
          </w:tcPr>
          <w:p>
            <w:pPr>
              <w:spacing w:after="0"/>
            </w:pPr>
            <w:r>
              <w:rPr>
                <w:sz w:val="18"/>
              </w:rPr>
              <w:t>lwIP</w:t>
            </w:r>
          </w:p>
        </w:tc>
        <w:tc>
          <w:tcPr>
            <w:tcW w:type="dxa" w:w="955"/>
          </w:tcPr>
          <w:p>
            <w:pPr>
              <w:spacing w:after="0"/>
            </w:pPr>
            <w:r>
              <w:rPr>
                <w:sz w:val="18"/>
              </w:rPr>
              <w:t>2.1.3</w:t>
            </w:r>
          </w:p>
        </w:tc>
        <w:tc>
          <w:tcPr>
            <w:tcW w:type="dxa" w:w="956"/>
          </w:tcPr>
          <w:p>
            <w:pPr>
              <w:spacing w:after="0"/>
            </w:pPr>
            <w:r>
              <w:rPr>
                <w:sz w:val="18"/>
              </w:rPr>
              <w:t>sprout-fw</w:t>
            </w:r>
          </w:p>
        </w:tc>
        <w:tc>
          <w:tcPr>
            <w:tcW w:type="dxa" w:w="2588"/>
          </w:tcPr>
          <w:p>
            <w:pPr>
              <w:spacing w:after="0"/>
            </w:pPr>
            <w:r>
              <w:rPr>
                <w:sz w:val="18"/>
              </w:rPr>
              <w:t>Listed by hand: no automatic database covers it reliably.</w:t>
            </w:r>
          </w:p>
        </w:tc>
        <w:tc>
          <w:tcPr>
            <w:tcW w:type="dxa" w:w="3539"/>
          </w:tcPr>
          <w:p>
            <w:pPr>
              <w:spacing w:after="0"/>
            </w:pPr>
            <w:hyperlink r:id="rId39">
              <w:r>
                <w:rPr>
                  <w:rFonts w:ascii="Arial" w:hAnsi="Arial"/>
                  <w:color w:val="0563C1"/>
                  <w:u w:val="single"/>
                  <w:sz w:val="18"/>
                </w:rPr>
                <w:t xml:space="preserve">https://savannah.nongnu.org/projects/lwip/</w:t>
              </w:r>
            </w:hyperlink>
          </w:p>
        </w:tc>
      </w:tr>
      <w:tr>
        <w:tc>
          <w:tcPr>
            <w:tcW w:type="dxa" w:w="1599"/>
          </w:tcPr>
          <w:p>
            <w:pPr>
              <w:spacing w:after="0"/>
            </w:pPr>
            <w:r>
              <w:rPr>
                <w:sz w:val="18"/>
              </w:rPr>
              <w:t>cJSON</w:t>
            </w:r>
          </w:p>
        </w:tc>
        <w:tc>
          <w:tcPr>
            <w:tcW w:type="dxa" w:w="955"/>
          </w:tcPr>
          <w:p>
            <w:pPr>
              <w:spacing w:after="0"/>
            </w:pPr>
            <w:r>
              <w:rPr>
                <w:sz w:val="18"/>
              </w:rPr>
              <w:t>1.7.15</w:t>
            </w:r>
          </w:p>
        </w:tc>
        <w:tc>
          <w:tcPr>
            <w:tcW w:type="dxa" w:w="956"/>
          </w:tcPr>
          <w:p>
            <w:pPr>
              <w:spacing w:after="0"/>
            </w:pPr>
            <w:r>
              <w:rPr>
                <w:sz w:val="18"/>
              </w:rPr>
              <w:t>sprout-fw</w:t>
            </w:r>
          </w:p>
        </w:tc>
        <w:tc>
          <w:tcPr>
            <w:tcW w:type="dxa" w:w="2588"/>
          </w:tcPr>
          <w:p>
            <w:pPr>
              <w:spacing w:after="0"/>
            </w:pPr>
            <w:r>
              <w:rPr>
                <w:sz w:val="18"/>
              </w:rPr>
              <w:t>Listed by hand: no automatic database covers it reliably.</w:t>
            </w:r>
          </w:p>
        </w:tc>
        <w:tc>
          <w:tcPr>
            <w:tcW w:type="dxa" w:w="3539"/>
          </w:tcPr>
          <w:p>
            <w:pPr>
              <w:spacing w:after="0"/>
            </w:pPr>
            <w:hyperlink r:id="rId40">
              <w:r>
                <w:rPr>
                  <w:rFonts w:ascii="Arial" w:hAnsi="Arial"/>
                  <w:color w:val="0563C1"/>
                  <w:u w:val="single"/>
                  <w:sz w:val="18"/>
                </w:rPr>
                <w:t xml:space="preserve">https://github.com/DaveGamble/cJSON/security/advisories</w:t>
              </w:r>
            </w:hyperlink>
          </w:p>
        </w:tc>
      </w:tr>
    </w:tbl>
    <w:p>
      <w:pPr>
        <w:spacing w:after="40"/>
      </w:pPr>
    </w:p>
    <w:p>
      <w:r>
        <w:rPr/>
        <w:t>More places to look are in the spreadsheet: the vendor's security advisories, OSV (osv.dev), the US National Vulnerability Database and the EU Vulnerability Database (EUVD).</w:t>
      </w:r>
    </w:p>
    <w:p>
      <w:pPr>
        <w:pStyle w:val="Heading2"/>
      </w:pPr>
      <w:r>
        <w:rPr/>
        <w:t>How this check was done</w:t>
      </w:r>
    </w:p>
    <w:p>
      <w:pPr>
        <w:pStyle w:val="ListBullet"/>
        <w:spacing w:after="60"/>
      </w:pPr>
      <w:r>
        <w:rPr>
          <w:b/>
        </w:rPr>
        <w:t>pip-audit (PyPI vulnerability data)</w:t>
      </w:r>
      <w:r>
        <w:rPr/>
        <w:t>: pip-audit 2.10.1; 16 packages</w:t>
      </w:r>
    </w:p>
    <w:p>
      <w:pPr>
        <w:pStyle w:val="ListBullet"/>
        <w:spacing w:after="60"/>
      </w:pPr>
      <w:r>
        <w:rPr>
          <w:b/>
        </w:rPr>
        <w:t>npm audit in sprout-companion</w:t>
      </w:r>
      <w:r>
        <w:rPr/>
        <w:t>: npm 10.9.4; 117 production packages</w:t>
      </w:r>
    </w:p>
    <w:p>
      <w:pPr>
        <w:pStyle w:val="ListBullet"/>
        <w:spacing w:after="60"/>
      </w:pPr>
      <w:r>
        <w:rPr>
          <w:b/>
        </w:rPr>
        <w:t>Severity and CVE details:</w:t>
      </w:r>
      <w:r>
        <w:rPr/>
        <w:t xml:space="preserve"> OSV data files (osv-vulnerabilities.storage.googleapis.com); OSV API not reachable</w:t>
      </w:r>
    </w:p>
    <w:p>
      <w:pPr>
        <w:pStyle w:val="ListBullet"/>
        <w:spacing w:after="60"/>
      </w:pPr>
      <w:r>
        <w:rPr>
          <w:b/>
        </w:rPr>
        <w:t>Known exploited check:</w:t>
      </w:r>
      <w:r>
        <w:rPr/>
        <w:t xml:space="preserve"> CISA KEV catalogue version 2026.10.04 (1734 entries, released 2026-10-04) from https://raw.githubusercontent.com/cisagov/kev-data/main/known_exploited_vulnerabilities.json</w:t>
      </w:r>
    </w:p>
    <w:p>
      <w:r>
        <w:rPr/>
        <w:t>Severity follows the rating in each advisory (GitHub's rating where there is one, otherwise the CVSS v3 base score). 'Fixed in' is the first release that fixes the problem for your version. New vulnerabilities are published every day, so this report is a snapshot.</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Prepared by Alex Example, Example Consulting (fictional)  |  Not legal advice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eastAsia="Arial"/>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eastAsia="Arial"/>
      <w:b/>
      <w:bCs/>
      <w:i/>
      <w:iCs/>
      <w:color w:val="1F386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eastAsia="Arial"/>
      <w:b/>
      <w:color w:val="1F386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rPr>
      <w:rFonts w:ascii="Arial" w:hAnsi="Arial"/>
    </w:rPr>
  </w:style>
  <w:style w:type="paragraph" w:styleId="ListBullet3">
    <w:name w:val="List Bullet 3"/>
    <w:basedOn w:val="Normal"/>
    <w:uiPriority w:val="99"/>
    <w:unhideWhenUsed/>
    <w:rsid w:val="00326F90"/>
    <w:pPr>
      <w:numPr>
        <w:numId w:val="3"/>
      </w:numPr>
      <w:contextualSpacing/>
    </w:pPr>
    <w:rPr>
      <w:rFonts w:ascii="Arial" w:hAnsi="Arial"/>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advisories/GHSA-qwcr-r2fm-qrc7" TargetMode="External"/><Relationship Id="rId11" Type="http://schemas.openxmlformats.org/officeDocument/2006/relationships/hyperlink" Target="https://github.com/advisories/GHSA-w3h3-4rj7-4ph4" TargetMode="External"/><Relationship Id="rId12" Type="http://schemas.openxmlformats.org/officeDocument/2006/relationships/hyperlink" Target="https://github.com/advisories/GHSA-hc5x-x2vx-497g" TargetMode="External"/><Relationship Id="rId13" Type="http://schemas.openxmlformats.org/officeDocument/2006/relationships/hyperlink" Target="https://github.com/advisories/GHSA-9wv6-86v2-598j" TargetMode="External"/><Relationship Id="rId14" Type="http://schemas.openxmlformats.org/officeDocument/2006/relationships/hyperlink" Target="https://github.com/advisories/GHSA-rhx6-c78j-4q9w" TargetMode="External"/><Relationship Id="rId15" Type="http://schemas.openxmlformats.org/officeDocument/2006/relationships/hyperlink" Target="https://github.com/advisories/GHSA-2g68-c3qc-8985" TargetMode="External"/><Relationship Id="rId16" Type="http://schemas.openxmlformats.org/officeDocument/2006/relationships/hyperlink" Target="https://github.com/advisories/GHSA-rv95-896h-c2vc" TargetMode="External"/><Relationship Id="rId17" Type="http://schemas.openxmlformats.org/officeDocument/2006/relationships/hyperlink" Target="https://github.com/advisories/GHSA-mf9w-mj56-hr94" TargetMode="External"/><Relationship Id="rId18" Type="http://schemas.openxmlformats.org/officeDocument/2006/relationships/hyperlink" Target="https://github.com/advisories/GHSA-6rw7-vpxm-498p" TargetMode="External"/><Relationship Id="rId19" Type="http://schemas.openxmlformats.org/officeDocument/2006/relationships/hyperlink" Target="https://github.com/advisories/GHSA-4mjr-xmp4-gh2g" TargetMode="External"/><Relationship Id="rId20" Type="http://schemas.openxmlformats.org/officeDocument/2006/relationships/hyperlink" Target="https://github.com/advisories/GHSA-9wx4-h78v-vm56" TargetMode="External"/><Relationship Id="rId21" Type="http://schemas.openxmlformats.org/officeDocument/2006/relationships/hyperlink" Target="https://github.com/advisories/GHSA-9hjg-9r4m-mvj7" TargetMode="External"/><Relationship Id="rId22" Type="http://schemas.openxmlformats.org/officeDocument/2006/relationships/hyperlink" Target="https://github.com/advisories/GHSA-gc5v-m9x4-r6x2" TargetMode="External"/><Relationship Id="rId23" Type="http://schemas.openxmlformats.org/officeDocument/2006/relationships/hyperlink" Target="https://github.com/advisories/GHSA-f9vj-2wh5-fj8j" TargetMode="External"/><Relationship Id="rId24" Type="http://schemas.openxmlformats.org/officeDocument/2006/relationships/hyperlink" Target="https://github.com/advisories/GHSA-q34m-jh98-gwm2" TargetMode="External"/><Relationship Id="rId25" Type="http://schemas.openxmlformats.org/officeDocument/2006/relationships/hyperlink" Target="https://github.com/advisories/GHSA-hgf8-39gv-g3f2" TargetMode="External"/><Relationship Id="rId26" Type="http://schemas.openxmlformats.org/officeDocument/2006/relationships/hyperlink" Target="https://github.com/advisories/GHSA-g6x2-hccm-hh4m" TargetMode="External"/><Relationship Id="rId27" Type="http://schemas.openxmlformats.org/officeDocument/2006/relationships/hyperlink" Target="https://github.com/advisories/GHSA-87hc-h4r5-73f7" TargetMode="External"/><Relationship Id="rId28" Type="http://schemas.openxmlformats.org/officeDocument/2006/relationships/hyperlink" Target="https://github.com/advisories/GHSA-29vq-49wr-vm6x" TargetMode="External"/><Relationship Id="rId29" Type="http://schemas.openxmlformats.org/officeDocument/2006/relationships/hyperlink" Target="https://github.com/advisories/GHSA-v422-hmwv-36x6" TargetMode="External"/><Relationship Id="rId30" Type="http://schemas.openxmlformats.org/officeDocument/2006/relationships/hyperlink" Target="https://github.com/advisories/GHSA-pxg6-pf52-xh8x" TargetMode="External"/><Relationship Id="rId31" Type="http://schemas.openxmlformats.org/officeDocument/2006/relationships/hyperlink" Target="https://github.com/advisories/GHSA-qw6h-vgh9-j6wx" TargetMode="External"/><Relationship Id="rId32" Type="http://schemas.openxmlformats.org/officeDocument/2006/relationships/hyperlink" Target="https://github.com/advisories/GHSA-68rp-wp8r-4726" TargetMode="External"/><Relationship Id="rId33" Type="http://schemas.openxmlformats.org/officeDocument/2006/relationships/hyperlink" Target="https://github.com/advisories/GHSA-w7fw-mjwx-w883" TargetMode="External"/><Relationship Id="rId34" Type="http://schemas.openxmlformats.org/officeDocument/2006/relationships/hyperlink" Target="https://github.com/advisories/GHSA-m6fv-jmcg-4jfg" TargetMode="External"/><Relationship Id="rId35" Type="http://schemas.openxmlformats.org/officeDocument/2006/relationships/hyperlink" Target="https://github.com/advisories/GHSA-cm22-4g7w-348p" TargetMode="External"/><Relationship Id="rId36" Type="http://schemas.openxmlformats.org/officeDocument/2006/relationships/hyperlink" Target="https://github.com/espressif/esp-idf/security/advisories" TargetMode="External"/><Relationship Id="rId37" Type="http://schemas.openxmlformats.org/officeDocument/2006/relationships/hyperlink" Target="https://github.com/espressif/esp-idf/tree/v5.1.2/components/freertos" TargetMode="External"/><Relationship Id="rId38" Type="http://schemas.openxmlformats.org/officeDocument/2006/relationships/hyperlink" Target="https://github.com/Mbed-TLS/mbedtls/security/advisories" TargetMode="External"/><Relationship Id="rId39" Type="http://schemas.openxmlformats.org/officeDocument/2006/relationships/hyperlink" Target="https://savannah.nongnu.org/projects/lwip/" TargetMode="External"/><Relationship Id="rId40" Type="http://schemas.openxmlformats.org/officeDocument/2006/relationships/hyperlink" Target="https://github.com/DaveGamble/cJSON/security/advis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