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Security support period statement</w:t>
      </w:r>
    </w:p>
    <w:p>
      <w:r>
        <w:rPr>
          <w:b/>
        </w:rPr>
        <w:t>[Company legal name]</w:t>
      </w:r>
      <w:r>
        <w:rPr/>
        <w:t xml:space="preserve"> · Version 1.0 · 7 October 2026</w:t>
      </w:r>
    </w:p>
    <w:p>
      <w:pPr>
        <w:ind w:left="283" w:right="283"/>
        <w:shd w:val="clear" w:color="auto" w:fill="EAF1FB"/>
        <w:pBdr>
          <w:left w:val="single" w:sz="18" w:space="4" w:color="2F5597"/>
        </w:pBdr>
      </w:pPr>
      <w:r>
        <w:rPr>
          <w:b/>
        </w:rPr>
        <w:t>Draft for review.</w:t>
      </w:r>
      <w:r>
        <w:rPr/>
        <w:t xml:space="preserve"> Prepared by [Your name], [Your business]. Management must approve the support period, and your lawyer should check it. Delete this box when it is final.</w:t>
      </w:r>
    </w:p>
    <w:p>
      <w:pPr>
        <w:pStyle w:val="Heading2"/>
      </w:pPr>
      <w:r>
        <w:rPr/>
        <w:t>Part 1: For customers</w:t>
      </w:r>
    </w:p>
    <w:p>
      <w:pPr>
        <w:pStyle w:val="Heading3"/>
      </w:pPr>
      <w:r>
        <w:rPr/>
        <w:t>[Product name] ([Model or type number])</w:t>
      </w:r>
    </w:p>
    <w:p>
      <w:pPr>
        <w:pStyle w:val="ListBullet"/>
        <w:spacing w:after="60"/>
      </w:pPr>
      <w:r>
        <w:rPr>
          <w:b/>
        </w:rPr>
        <w:t>Security updates until:</w:t>
      </w:r>
      <w:r>
        <w:rPr/>
        <w:t xml:space="preserve"> the end of </w:t>
      </w:r>
      <w:r>
        <w:rPr>
          <w:b/>
        </w:rPr>
        <w:t>[YYYY-MM]</w:t>
      </w:r>
      <w:r>
        <w:rPr/>
        <w:t>.</w:t>
      </w:r>
    </w:p>
    <w:p>
      <w:pPr>
        <w:pStyle w:val="ListBullet"/>
        <w:spacing w:after="60"/>
      </w:pPr>
      <w:r>
        <w:rPr>
          <w:b/>
        </w:rPr>
        <w:t>Covers:</w:t>
      </w:r>
      <w:r>
        <w:rPr/>
        <w:t xml:space="preserve"> [Firmware name and version]; [App name and version]; [Cloud service name].</w:t>
      </w:r>
    </w:p>
    <w:p>
      <w:pPr>
        <w:pStyle w:val="ListBullet"/>
        <w:spacing w:after="60"/>
      </w:pPr>
      <w:r>
        <w:rPr>
          <w:b/>
        </w:rPr>
        <w:t>What you get:</w:t>
      </w:r>
      <w:r>
        <w:rPr/>
        <w:t xml:space="preserve"> we fix security problems in this product and make the fixes available as security updates, free of charge, until the date above.</w:t>
      </w:r>
    </w:p>
    <w:p>
      <w:pPr>
        <w:pStyle w:val="ListBullet"/>
        <w:spacing w:after="60"/>
      </w:pPr>
      <w:r>
        <w:rPr>
          <w:b/>
        </w:rPr>
        <w:t>How updates reach you:</w:t>
      </w:r>
      <w:r>
        <w:rPr/>
        <w:t xml:space="preserve"> [How updates reach users, e.g. over-the-air updates from the app].</w:t>
      </w:r>
    </w:p>
    <w:p>
      <w:pPr>
        <w:pStyle w:val="ListBullet"/>
        <w:spacing w:after="60"/>
      </w:pPr>
      <w:r>
        <w:rPr>
          <w:b/>
        </w:rPr>
        <w:t>Automatic updates:</w:t>
      </w:r>
      <w:r>
        <w:rPr/>
        <w:t xml:space="preserve"> [Are security updates installed automatically by default? How can users postpone or switch this off?]</w:t>
      </w:r>
    </w:p>
    <w:p>
      <w:pPr>
        <w:pStyle w:val="ListBullet"/>
        <w:spacing w:after="60"/>
      </w:pPr>
      <w:r>
        <w:rPr>
          <w:b/>
        </w:rPr>
        <w:t>Check your version:</w:t>
      </w:r>
      <w:r>
        <w:rPr/>
        <w:t xml:space="preserve"> [Where users can see the installed version]</w:t>
      </w:r>
    </w:p>
    <w:p>
      <w:pPr>
        <w:pStyle w:val="ListBullet"/>
        <w:spacing w:after="60"/>
      </w:pPr>
      <w:r>
        <w:rPr>
          <w:b/>
        </w:rPr>
        <w:t>When support ends:</w:t>
      </w:r>
      <w:r>
        <w:rPr/>
        <w:t xml:space="preserve"> [What happens when support ends]</w:t>
      </w:r>
    </w:p>
    <w:p>
      <w:pPr>
        <w:pStyle w:val="ListBullet"/>
        <w:spacing w:after="60"/>
      </w:pPr>
      <w:r>
        <w:rPr>
          <w:b/>
        </w:rPr>
        <w:t>Older updates:</w:t>
      </w:r>
      <w:r>
        <w:rPr/>
        <w:t xml:space="preserve"> each security update stays available for download for at least 10 years after its release, or until the end of the support period if that is later.</w:t>
      </w:r>
    </w:p>
    <w:p>
      <w:r>
        <w:rPr>
          <w:b/>
        </w:rPr>
        <w:t>Found a security problem?</w:t>
      </w:r>
      <w:r>
        <w:rPr/>
        <w:t xml:space="preserve"> Email </w:t>
      </w:r>
      <w:hyperlink r:id="rId10">
        <w:r>
          <w:rPr>
            <w:rFonts w:ascii="Arial" w:hAnsi="Arial"/>
            <w:color w:val="0563C1"/>
            <w:u w:val="single"/>
          </w:rPr>
          <w:t xml:space="preserve">security@company.example</w:t>
        </w:r>
      </w:hyperlink>
      <w:r>
        <w:rPr/>
        <w:t xml:space="preserve">. Our vulnerability disclosure policy is at </w:t>
      </w:r>
      <w:hyperlink r:id="rId11">
        <w:r>
          <w:rPr>
            <w:rFonts w:ascii="Arial" w:hAnsi="Arial"/>
            <w:color w:val="0563C1"/>
            <w:u w:val="single"/>
          </w:rPr>
          <w:t xml:space="preserve">https://company.example/security/policy</w:t>
        </w:r>
      </w:hyperlink>
      <w:r>
        <w:rPr/>
        <w:t>.</w:t>
      </w:r>
    </w:p>
    <w:p>
      <w:r>
        <w:rPr>
          <w:b/>
        </w:rPr>
        <w:t>Short text for product pages and packaging:</w:t>
      </w:r>
    </w:p>
    <w:p>
      <w:pPr>
        <w:ind w:left="283" w:right="283"/>
        <w:shd w:val="clear" w:color="auto" w:fill="EAF1FB"/>
        <w:pBdr>
          <w:left w:val="single" w:sz="18" w:space="4" w:color="2F5597"/>
        </w:pBdr>
      </w:pPr>
      <w:r>
        <w:rPr/>
        <w:t>[Product name]: security updates until [YYYY-MM]. Details: https://company.example/support/security-updates</w:t>
      </w:r>
    </w:p>
    <w:p>
      <w:pPr>
        <w:pStyle w:val="Heading2"/>
      </w:pPr>
      <w:r>
        <w:rPr/>
        <w:t>Part 2: How we decided (internal, for the technical documentation)</w:t>
      </w:r>
    </w:p>
    <w:p>
      <w:pPr>
        <w:pStyle w:val="Heading3"/>
      </w:pPr>
      <w:r>
        <w:rPr/>
        <w:t>[Product name]</w:t>
      </w:r>
    </w:p>
    <w:tbl>
      <w:tblPr>
        <w:tblStyle w:val="TableGrid"/>
        <w:tblW w:type="auto" w:w="0"/>
        <w:tblLayout w:type="fixed"/>
        <w:tblLook w:firstColumn="1" w:firstRow="1" w:lastColumn="0" w:lastRow="0" w:noHBand="0" w:noVBand="1" w:val="04A0"/>
      </w:tblPr>
      <w:tblGrid>
        <w:gridCol w:w="2910"/>
        <w:gridCol w:w="6728"/>
      </w:tblGrid>
      <w:tr>
        <w:trPr>
          <w:tblHeader w:val="true"/>
        </w:trPr>
        <w:tc>
          <w:tcPr>
            <w:tcW w:type="dxa" w:w="2910"/>
            <w:shd w:val="clear" w:color="auto" w:fill="D9E2F3"/>
          </w:tcPr>
          <w:p>
            <w:pPr>
              <w:spacing w:after="0"/>
            </w:pPr>
            <w:r>
              <w:rPr>
                <w:b/>
                <w:sz w:val="18"/>
              </w:rPr>
              <w:t>Item</w:t>
            </w:r>
          </w:p>
        </w:tc>
        <w:tc>
          <w:tcPr>
            <w:tcW w:type="dxa" w:w="6728"/>
            <w:shd w:val="clear" w:color="auto" w:fill="D9E2F3"/>
          </w:tcPr>
          <w:p>
            <w:pPr>
              <w:spacing w:after="0"/>
            </w:pPr>
            <w:r>
              <w:rPr>
                <w:b/>
                <w:sz w:val="18"/>
              </w:rPr>
              <w:t>Answer</w:t>
            </w:r>
          </w:p>
        </w:tc>
      </w:tr>
      <w:tr>
        <w:tc>
          <w:tcPr>
            <w:tcW w:type="dxa" w:w="2910"/>
          </w:tcPr>
          <w:p>
            <w:pPr>
              <w:spacing w:after="0"/>
            </w:pPr>
            <w:r>
              <w:rPr>
                <w:sz w:val="18"/>
              </w:rPr>
              <w:t>On the market since</w:t>
            </w:r>
          </w:p>
        </w:tc>
        <w:tc>
          <w:tcPr>
            <w:tcW w:type="dxa" w:w="6728"/>
          </w:tcPr>
          <w:p>
            <w:pPr>
              <w:spacing w:after="0"/>
            </w:pPr>
            <w:r>
              <w:rPr>
                <w:sz w:val="18"/>
              </w:rPr>
              <w:t>[YYYY-MM]</w:t>
            </w:r>
          </w:p>
        </w:tc>
      </w:tr>
      <w:tr>
        <w:tc>
          <w:tcPr>
            <w:tcW w:type="dxa" w:w="2910"/>
          </w:tcPr>
          <w:p>
            <w:pPr>
              <w:spacing w:after="0"/>
            </w:pPr>
            <w:r>
              <w:rPr>
                <w:sz w:val="18"/>
              </w:rPr>
              <w:t>Expected time in use</w:t>
            </w:r>
          </w:p>
        </w:tc>
        <w:tc>
          <w:tcPr>
            <w:tcW w:type="dxa" w:w="6728"/>
          </w:tcPr>
          <w:p>
            <w:pPr>
              <w:spacing w:after="0"/>
            </w:pPr>
            <w:r>
              <w:rPr>
                <w:sz w:val="18"/>
              </w:rPr>
              <w:t>[How long customers typically use it, and why you think so]</w:t>
            </w:r>
          </w:p>
        </w:tc>
      </w:tr>
      <w:tr>
        <w:tc>
          <w:tcPr>
            <w:tcW w:type="dxa" w:w="2910"/>
          </w:tcPr>
          <w:p>
            <w:pPr>
              <w:spacing w:after="0"/>
            </w:pPr>
            <w:r>
              <w:rPr>
                <w:sz w:val="18"/>
              </w:rPr>
              <w:t>Support period ends</w:t>
            </w:r>
          </w:p>
        </w:tc>
        <w:tc>
          <w:tcPr>
            <w:tcW w:type="dxa" w:w="6728"/>
          </w:tcPr>
          <w:p>
            <w:pPr>
              <w:spacing w:after="0"/>
            </w:pPr>
            <w:r>
              <w:rPr>
                <w:sz w:val="18"/>
              </w:rPr>
              <w:t>end of [YYYY-MM]</w:t>
            </w:r>
          </w:p>
        </w:tc>
      </w:tr>
      <w:tr>
        <w:tc>
          <w:tcPr>
            <w:tcW w:type="dxa" w:w="2910"/>
          </w:tcPr>
          <w:p>
            <w:pPr>
              <w:spacing w:after="0"/>
            </w:pPr>
            <w:r>
              <w:rPr>
                <w:sz w:val="18"/>
              </w:rPr>
              <w:t>Decided by</w:t>
            </w:r>
          </w:p>
        </w:tc>
        <w:tc>
          <w:tcPr>
            <w:tcW w:type="dxa" w:w="6728"/>
          </w:tcPr>
          <w:p>
            <w:pPr>
              <w:spacing w:after="0"/>
            </w:pPr>
            <w:r>
              <w:rPr>
                <w:sz w:val="18"/>
              </w:rPr>
              <w:t>[Name, role]</w:t>
            </w:r>
          </w:p>
        </w:tc>
      </w:tr>
      <w:tr>
        <w:tc>
          <w:tcPr>
            <w:tcW w:type="dxa" w:w="2910"/>
          </w:tcPr>
          <w:p>
            <w:pPr>
              <w:spacing w:after="0"/>
            </w:pPr>
            <w:r>
              <w:rPr>
                <w:sz w:val="18"/>
              </w:rPr>
              <w:t>Date of decision</w:t>
            </w:r>
          </w:p>
        </w:tc>
        <w:tc>
          <w:tcPr>
            <w:tcW w:type="dxa" w:w="6728"/>
          </w:tcPr>
          <w:p>
            <w:pPr>
              <w:spacing w:after="0"/>
            </w:pPr>
            <w:r>
              <w:rPr>
                <w:sz w:val="18"/>
              </w:rPr>
              <w:t>[YYYY-MM-DD]</w:t>
            </w:r>
          </w:p>
        </w:tc>
      </w:tr>
    </w:tbl>
    <w:p>
      <w:pPr>
        <w:spacing w:after="40"/>
      </w:pPr>
    </w:p>
    <w:p>
      <w:r>
        <w:rPr>
          <w:b/>
        </w:rPr>
        <w:t>Reasons for this support period:</w:t>
      </w:r>
    </w:p>
    <w:p>
      <w:pPr>
        <w:pStyle w:val="ListBullet"/>
        <w:spacing w:after="60"/>
      </w:pPr>
      <w:r>
        <w:rPr/>
        <w:t>[Reason 1 for the support period]</w:t>
      </w:r>
    </w:p>
    <w:p>
      <w:pPr>
        <w:pStyle w:val="ListBullet"/>
        <w:spacing w:after="60"/>
      </w:pPr>
      <w:r>
        <w:rPr/>
        <w:t>[Reason 2]</w:t>
      </w:r>
    </w:p>
    <w:p>
      <w:r>
        <w:rPr>
          <w:b/>
        </w:rPr>
        <w:t>Components we depend on, and how long they are supported:</w:t>
      </w:r>
    </w:p>
    <w:tbl>
      <w:tblPr>
        <w:tblStyle w:val="TableGrid"/>
        <w:tblW w:type="auto" w:w="0"/>
        <w:tblLayout w:type="fixed"/>
        <w:tblLook w:firstColumn="1" w:firstRow="1" w:lastColumn="0" w:lastRow="0" w:noHBand="0" w:noVBand="1" w:val="04A0"/>
      </w:tblPr>
      <w:tblGrid>
        <w:gridCol w:w="5649"/>
        <w:gridCol w:w="3144"/>
        <w:gridCol w:w="845"/>
      </w:tblGrid>
      <w:tr>
        <w:trPr>
          <w:tblHeader w:val="true"/>
        </w:trPr>
        <w:tc>
          <w:tcPr>
            <w:tcW w:type="dxa" w:w="5649"/>
            <w:shd w:val="clear" w:color="auto" w:fill="D9E2F3"/>
          </w:tcPr>
          <w:p>
            <w:pPr>
              <w:spacing w:after="0"/>
            </w:pPr>
            <w:r>
              <w:rPr>
                <w:b/>
                <w:sz w:val="18"/>
              </w:rPr>
              <w:t>Component</w:t>
            </w:r>
          </w:p>
        </w:tc>
        <w:tc>
          <w:tcPr>
            <w:tcW w:type="dxa" w:w="3144"/>
            <w:shd w:val="clear" w:color="auto" w:fill="D9E2F3"/>
          </w:tcPr>
          <w:p>
            <w:pPr>
              <w:spacing w:after="0"/>
            </w:pPr>
            <w:r>
              <w:rPr>
                <w:b/>
                <w:sz w:val="18"/>
              </w:rPr>
              <w:t>Supported until</w:t>
            </w:r>
          </w:p>
        </w:tc>
        <w:tc>
          <w:tcPr>
            <w:tcW w:type="dxa" w:w="845"/>
            <w:shd w:val="clear" w:color="auto" w:fill="D9E2F3"/>
          </w:tcPr>
          <w:p>
            <w:pPr>
              <w:spacing w:after="0"/>
            </w:pPr>
            <w:r>
              <w:rPr>
                <w:b/>
                <w:sz w:val="18"/>
              </w:rPr>
              <w:t>Our plan</w:t>
            </w:r>
          </w:p>
        </w:tc>
      </w:tr>
      <w:tr>
        <w:tc>
          <w:tcPr>
            <w:tcW w:type="dxa" w:w="5649"/>
          </w:tcPr>
          <w:p>
            <w:pPr>
              <w:spacing w:after="0"/>
            </w:pPr>
            <w:r>
              <w:rPr>
                <w:sz w:val="18"/>
              </w:rPr>
              <w:t>[SDK, operating system or runtime]</w:t>
            </w:r>
          </w:p>
        </w:tc>
        <w:tc>
          <w:tcPr>
            <w:tcW w:type="dxa" w:w="3144"/>
          </w:tcPr>
          <w:p>
            <w:pPr>
              <w:spacing w:after="0"/>
            </w:pPr>
            <w:r>
              <w:rPr>
                <w:sz w:val="18"/>
              </w:rPr>
              <w:t>[YYYY-MM or 'check']</w:t>
            </w:r>
          </w:p>
        </w:tc>
        <w:tc>
          <w:tcPr>
            <w:tcW w:type="dxa" w:w="845"/>
          </w:tcPr>
          <w:p>
            <w:pPr>
              <w:spacing w:after="0"/>
            </w:pPr>
            <w:r>
              <w:rPr>
                <w:sz w:val="18"/>
              </w:rPr>
              <w:t>[Plan]</w:t>
            </w:r>
          </w:p>
        </w:tc>
      </w:tr>
    </w:tbl>
    <w:p>
      <w:pPr>
        <w:spacing w:after="40"/>
      </w:pPr>
    </w:p>
    <w:p>
      <w:r>
        <w:rPr>
          <w:b/>
        </w:rPr>
        <w:t>Rules we checked against (plain-English summary of the CRA, verify current text and dates):</w:t>
      </w:r>
    </w:p>
    <w:p>
      <w:pPr>
        <w:pStyle w:val="ListBullet"/>
        <w:spacing w:after="60"/>
      </w:pPr>
      <w:r>
        <w:rPr/>
        <w:t>The support period should reflect how long people are expected to use the product, taking into account reasonable user expectations, the nature and purpose of the product, and relevant EU law on product lifetimes.</w:t>
      </w:r>
    </w:p>
    <w:p>
      <w:pPr>
        <w:pStyle w:val="ListBullet"/>
        <w:spacing w:after="60"/>
      </w:pPr>
      <w:r>
        <w:rPr/>
        <w:t>It must be at least five years, unless the product is expected to be in use for less than that; then it can match the expected time in use.</w:t>
      </w:r>
    </w:p>
    <w:p>
      <w:pPr>
        <w:pStyle w:val="ListBullet"/>
        <w:spacing w:after="60"/>
      </w:pPr>
      <w:r>
        <w:rPr/>
        <w:t>The end date, at least the month and year, must be clear at the time of purchase, for example on the product page, the packaging or by digital means.</w:t>
      </w:r>
    </w:p>
    <w:p>
      <w:pPr>
        <w:pStyle w:val="ListBullet"/>
        <w:spacing w:after="60"/>
      </w:pPr>
      <w:r>
        <w:rPr/>
        <w:t>Each security update must stay available for at least 10 years after release, or for the rest of the support period if that is longer.</w:t>
      </w:r>
    </w:p>
    <w:p>
      <w:pPr>
        <w:pStyle w:val="ListBullet"/>
        <w:spacing w:after="60"/>
      </w:pPr>
      <w:r>
        <w:rPr/>
        <w:t>The information used to decide the support period belongs in the technical documentation.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[Company legal name]  |  Support period statement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ecurity@company.example" TargetMode="External"/><Relationship Id="rId11" Type="http://schemas.openxmlformats.org/officeDocument/2006/relationships/hyperlink" Target="https://company.example/secur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