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model update report: Acme support helper</w:t>
      </w:r>
    </w:p>
    <w:p>
      <w:r>
        <w:rPr>
          <w:b/>
        </w:rPr>
        <w:t>Prepared for:</w:t>
      </w:r>
      <w:r>
        <w:rPr/>
        <w:t xml:space="preserve"> Acme Home Goods · </w:t>
      </w:r>
      <w:r>
        <w:rPr>
          <w:b/>
        </w:rPr>
        <w:t>Prepared by:</w:t>
      </w:r>
      <w:r>
        <w:rPr/>
        <w:t xml:space="preserve"> [Your name] · </w:t>
      </w:r>
      <w:r>
        <w:rPr>
          <w:b/>
        </w:rPr>
        <w:t>Date:</w:t>
      </w:r>
      <w:r>
        <w:rPr/>
        <w:t xml:space="preserve"> 2026-10-09 · </w:t>
      </w:r>
      <w:r>
        <w:rPr>
          <w:b/>
        </w:rPr>
        <w:t>Version:</w:t>
      </w:r>
      <w:r>
        <w:rPr/>
        <w:t xml:space="preserve"> 1.0</w:t>
      </w:r>
    </w:p>
    <w:p>
      <w:pPr>
        <w:pStyle w:val="IntenseQuote"/>
      </w:pPr>
      <w:r>
        <w:rPr/>
        <w:t>FICTIONAL SAMPLE for a portfolio. Acme Home Goods is not a real company. The model names, providers, dates, prices and results are made up, and the answers come from a simulated (mock) run.</w:t>
      </w:r>
    </w:p>
    <w:p>
      <w:pPr>
        <w:pStyle w:val="Heading1"/>
      </w:pPr>
      <w:r>
        <w:t>1. Summary</w:t>
      </w:r>
    </w:p>
    <w:p>
      <w:r>
        <w:rPr/>
        <w:t xml:space="preserve">Your ticket summarizer and reply drafter both use old-model-v1, which Provider A retires on 1 December 2026. After that date both features would stop working. We moved them to new-model-v2, adjusted both prompts, and compared old and new answers on 10 real examples. The new version is ready to release from the branch </w:t>
      </w:r>
      <w:r>
        <w:rPr>
          <w:rFonts w:ascii="Consolas" w:hAnsi="Consolas"/>
          <w:sz w:val="19"/>
        </w:rPr>
        <w:t>model-update-2026-10</w:t>
      </w:r>
      <w:r>
        <w:rPr/>
        <w:t>.</w:t>
      </w:r>
    </w:p>
    <w:tbl>
      <w:tblPr>
        <w:tblStyle w:val="TableGrid"/>
        <w:tblW w:type="auto" w:w="0"/>
        <w:jc w:val="center"/>
        <w:tblLayout w:type="fixed"/>
        <w:tblLook w:firstColumn="1" w:firstRow="1" w:lastColumn="0" w:lastRow="0" w:noHBand="0" w:noVBand="1" w:val="04A0"/>
      </w:tblPr>
      <w:tblGrid>
        <w:gridCol w:w="4610"/>
        <w:gridCol w:w="2335"/>
        <w:gridCol w:w="2415"/>
      </w:tblGrid>
      <w:tr>
        <w:tc>
          <w:tcPr>
            <w:tcW w:type="dxa" w:w="4610"/>
            <w:shd w:val="clear" w:color="auto" w:fill="DDEBF7"/>
          </w:tcPr>
          <w:p>
            <w:pPr>
              <w:spacing w:after="0"/>
            </w:pPr>
          </w:p>
        </w:tc>
        <w:tc>
          <w:tcPr>
            <w:tcW w:type="dxa" w:w="2335"/>
            <w:shd w:val="clear" w:color="auto" w:fill="DDEBF7"/>
          </w:tcPr>
          <w:p>
            <w:pPr>
              <w:spacing w:after="0"/>
            </w:pPr>
            <w:r>
              <w:rPr>
                <w:b/>
                <w:sz w:val="19"/>
              </w:rPr>
              <w:t>Before</w:t>
            </w:r>
          </w:p>
        </w:tc>
        <w:tc>
          <w:tcPr>
            <w:tcW w:type="dxa" w:w="2415"/>
            <w:shd w:val="clear" w:color="auto" w:fill="DDEBF7"/>
          </w:tcPr>
          <w:p>
            <w:pPr>
              <w:spacing w:after="0"/>
            </w:pPr>
            <w:r>
              <w:rPr>
                <w:b/>
                <w:sz w:val="19"/>
              </w:rPr>
              <w:t>After</w:t>
            </w:r>
          </w:p>
        </w:tc>
      </w:tr>
      <w:tr>
        <w:tc>
          <w:tcPr>
            <w:tcW w:type="dxa" w:w="4610"/>
          </w:tcPr>
          <w:p>
            <w:pPr>
              <w:spacing w:after="0"/>
            </w:pPr>
            <w:r>
              <w:rPr>
                <w:sz w:val="19"/>
              </w:rPr>
              <w:t>Model</w:t>
            </w:r>
          </w:p>
        </w:tc>
        <w:tc>
          <w:tcPr>
            <w:tcW w:type="dxa" w:w="2335"/>
          </w:tcPr>
          <w:p>
            <w:pPr>
              <w:spacing w:after="0"/>
            </w:pPr>
            <w:r>
              <w:rPr>
                <w:sz w:val="19"/>
              </w:rPr>
              <w:t>old-model-v1</w:t>
            </w:r>
          </w:p>
        </w:tc>
        <w:tc>
          <w:tcPr>
            <w:tcW w:type="dxa" w:w="2415"/>
          </w:tcPr>
          <w:p>
            <w:pPr>
              <w:spacing w:after="0"/>
            </w:pPr>
            <w:r>
              <w:rPr>
                <w:sz w:val="19"/>
              </w:rPr>
              <w:t>new-model-v2</w:t>
            </w:r>
          </w:p>
        </w:tc>
      </w:tr>
      <w:tr>
        <w:tc>
          <w:tcPr>
            <w:tcW w:type="dxa" w:w="4610"/>
          </w:tcPr>
          <w:p>
            <w:pPr>
              <w:spacing w:after="0"/>
            </w:pPr>
            <w:r>
              <w:rPr>
                <w:sz w:val="19"/>
              </w:rPr>
              <w:t>Retirement date</w:t>
            </w:r>
          </w:p>
        </w:tc>
        <w:tc>
          <w:tcPr>
            <w:tcW w:type="dxa" w:w="2335"/>
          </w:tcPr>
          <w:p>
            <w:pPr>
              <w:spacing w:after="0"/>
            </w:pPr>
            <w:r>
              <w:rPr>
                <w:sz w:val="19"/>
              </w:rPr>
              <w:t>1 December 2026</w:t>
            </w:r>
          </w:p>
        </w:tc>
        <w:tc>
          <w:tcPr>
            <w:tcW w:type="dxa" w:w="2415"/>
          </w:tcPr>
          <w:p>
            <w:pPr>
              <w:spacing w:after="0"/>
            </w:pPr>
            <w:r>
              <w:rPr>
                <w:sz w:val="19"/>
              </w:rPr>
              <w:t>none announced</w:t>
            </w:r>
          </w:p>
        </w:tc>
      </w:tr>
      <w:tr>
        <w:tc>
          <w:tcPr>
            <w:tcW w:type="dxa" w:w="4610"/>
          </w:tcPr>
          <w:p>
            <w:pPr>
              <w:spacing w:after="0"/>
            </w:pPr>
            <w:r>
              <w:rPr>
                <w:sz w:val="19"/>
              </w:rPr>
              <w:t>Automatic checks passed</w:t>
            </w:r>
          </w:p>
        </w:tc>
        <w:tc>
          <w:tcPr>
            <w:tcW w:type="dxa" w:w="2335"/>
          </w:tcPr>
          <w:p>
            <w:pPr>
              <w:spacing w:after="0"/>
            </w:pPr>
            <w:r>
              <w:rPr>
                <w:sz w:val="19"/>
              </w:rPr>
              <w:t>9 of 10</w:t>
            </w:r>
          </w:p>
        </w:tc>
        <w:tc>
          <w:tcPr>
            <w:tcW w:type="dxa" w:w="2415"/>
          </w:tcPr>
          <w:p>
            <w:pPr>
              <w:spacing w:after="0"/>
            </w:pPr>
            <w:r>
              <w:rPr>
                <w:sz w:val="19"/>
              </w:rPr>
              <w:t>10 of 10</w:t>
            </w:r>
          </w:p>
        </w:tc>
      </w:tr>
      <w:tr>
        <w:tc>
          <w:tcPr>
            <w:tcW w:type="dxa" w:w="4610"/>
          </w:tcPr>
          <w:p>
            <w:pPr>
              <w:spacing w:after="0"/>
            </w:pPr>
            <w:r>
              <w:rPr>
                <w:sz w:val="19"/>
              </w:rPr>
              <w:t>Typical response time</w:t>
            </w:r>
          </w:p>
        </w:tc>
        <w:tc>
          <w:tcPr>
            <w:tcW w:type="dxa" w:w="2335"/>
          </w:tcPr>
          <w:p>
            <w:pPr>
              <w:spacing w:after="0"/>
            </w:pPr>
            <w:r>
              <w:rPr>
                <w:sz w:val="19"/>
              </w:rPr>
              <w:t>1.9 seconds</w:t>
            </w:r>
          </w:p>
        </w:tc>
        <w:tc>
          <w:tcPr>
            <w:tcW w:type="dxa" w:w="2415"/>
          </w:tcPr>
          <w:p>
            <w:pPr>
              <w:spacing w:after="0"/>
            </w:pPr>
            <w:r>
              <w:rPr>
                <w:sz w:val="19"/>
              </w:rPr>
              <w:t>1.1 seconds</w:t>
            </w:r>
          </w:p>
        </w:tc>
      </w:tr>
      <w:tr>
        <w:tc>
          <w:tcPr>
            <w:tcW w:type="dxa" w:w="4610"/>
          </w:tcPr>
          <w:p>
            <w:pPr>
              <w:spacing w:after="0"/>
            </w:pPr>
            <w:r>
              <w:rPr>
                <w:sz w:val="19"/>
              </w:rPr>
              <w:t>Estimated cost per 1,000 requests</w:t>
            </w:r>
          </w:p>
        </w:tc>
        <w:tc>
          <w:tcPr>
            <w:tcW w:type="dxa" w:w="2335"/>
          </w:tcPr>
          <w:p>
            <w:pPr>
              <w:spacing w:after="0"/>
            </w:pPr>
            <w:r>
              <w:rPr>
                <w:sz w:val="19"/>
              </w:rPr>
              <w:t>$0.26</w:t>
            </w:r>
          </w:p>
        </w:tc>
        <w:tc>
          <w:tcPr>
            <w:tcW w:type="dxa" w:w="2415"/>
          </w:tcPr>
          <w:p>
            <w:pPr>
              <w:spacing w:after="0"/>
            </w:pPr>
            <w:r>
              <w:rPr>
                <w:sz w:val="19"/>
              </w:rPr>
              <w:t>$0.24</w:t>
            </w:r>
          </w:p>
        </w:tc>
      </w:tr>
    </w:tbl>
    <w:p>
      <w:pPr>
        <w:spacing w:after="40"/>
      </w:pPr>
    </w:p>
    <w:p>
      <w:r>
        <w:rPr>
          <w:b/>
        </w:rPr>
        <w:t>Human review:</w:t>
      </w:r>
      <w:r>
        <w:rPr/>
        <w:t xml:space="preserve"> the new answer was as good as or better than the old one in 9 of 10 cases, and acceptable in 10 of 10.</w:t>
      </w:r>
    </w:p>
    <w:p>
      <w:r>
        <w:rPr>
          <w:b/>
        </w:rPr>
        <w:t>What you need to do:</w:t>
      </w:r>
      <w:r>
        <w:rPr/>
        <w:t xml:space="preserve"> review and merge pull request #42 before 20 November, change one hosting setting (</w:t>
      </w:r>
      <w:r>
        <w:rPr>
          <w:rFonts w:ascii="Consolas" w:hAnsi="Consolas"/>
          <w:sz w:val="19"/>
        </w:rPr>
        <w:t>REPLY_MODEL</w:t>
      </w:r>
      <w:r>
        <w:rPr/>
        <w:t>), then release. Section 7 has the steps.</w:t>
      </w:r>
    </w:p>
    <w:p>
      <w:pPr>
        <w:pStyle w:val="Heading1"/>
      </w:pPr>
      <w:r>
        <w:t>2. Scope</w:t>
      </w:r>
    </w:p>
    <w:p>
      <w:pPr>
        <w:pStyle w:val="ListBullet"/>
        <w:spacing w:after="60"/>
      </w:pPr>
      <w:r>
        <w:rPr>
          <w:b/>
        </w:rPr>
        <w:t>Included:</w:t>
      </w:r>
      <w:r>
        <w:rPr/>
        <w:t xml:space="preserve"> the ticket summarizer (</w:t>
      </w:r>
      <w:r>
        <w:rPr>
          <w:rFonts w:ascii="Consolas" w:hAnsi="Consolas"/>
          <w:sz w:val="19"/>
        </w:rPr>
        <w:t>app/summarize_ticket.py</w:t>
      </w:r>
      <w:r>
        <w:rPr/>
        <w:t>) and the reply drafter (</w:t>
      </w:r>
      <w:r>
        <w:rPr>
          <w:rFonts w:ascii="Consolas" w:hAnsi="Consolas"/>
          <w:sz w:val="19"/>
        </w:rPr>
        <w:t>web/src/replyDraft.ts</w:t>
      </w:r>
      <w:r>
        <w:rPr/>
        <w:t xml:space="preserve">), both on old-model-v1. Also the unused 2023 script </w:t>
      </w:r>
      <w:r>
        <w:rPr>
          <w:rFonts w:ascii="Consolas" w:hAnsi="Consolas"/>
          <w:sz w:val="19"/>
        </w:rPr>
        <w:t>scripts/backfill_tags.py</w:t>
      </w:r>
      <w:r>
        <w:rPr/>
        <w:t>, deleted with your agreement.</w:t>
      </w:r>
    </w:p>
    <w:p>
      <w:pPr>
        <w:pStyle w:val="ListBullet"/>
        <w:spacing w:after="60"/>
      </w:pPr>
      <w:r>
        <w:rPr>
          <w:b/>
        </w:rPr>
        <w:t>Not included:</w:t>
      </w:r>
      <w:r>
        <w:rPr/>
        <w:t xml:space="preserve"> the ticket classifier, the help-article search index and the website chat widget. Their models retire later or have no date. See section 8.</w:t>
      </w:r>
    </w:p>
    <w:p>
      <w:pPr>
        <w:pStyle w:val="ListBullet"/>
        <w:spacing w:after="60"/>
      </w:pPr>
      <w:r>
        <w:rPr>
          <w:b/>
        </w:rPr>
        <w:t>Where we worked:</w:t>
      </w:r>
      <w:r>
        <w:rPr/>
        <w:t xml:space="preserve"> branch </w:t>
      </w:r>
      <w:r>
        <w:rPr>
          <w:rFonts w:ascii="Consolas" w:hAnsi="Consolas"/>
          <w:sz w:val="19"/>
        </w:rPr>
        <w:t>model-update-2026-10</w:t>
      </w:r>
      <w:r>
        <w:rPr/>
        <w:t xml:space="preserve"> in the </w:t>
      </w:r>
      <w:r>
        <w:rPr>
          <w:rFonts w:ascii="Consolas" w:hAnsi="Consolas"/>
          <w:sz w:val="19"/>
        </w:rPr>
        <w:t>acme-support-helper</w:t>
      </w:r>
      <w:r>
        <w:rPr/>
        <w:t xml:space="preserve"> repository. Tests ran in staging with your staging API key. Nothing was changed in production.</w:t>
      </w:r>
    </w:p>
    <w:p>
      <w:pPr>
        <w:pStyle w:val="Heading1"/>
      </w:pPr>
      <w:r>
        <w:t>3. What we found</w:t>
      </w:r>
    </w:p>
    <w:p>
      <w:r>
        <w:rPr/>
        <w:t>We scanned 10 files and found 12 places where an AI model is chosen. 6 of them use a model that is already retired or retires within 90 days.</w:t>
      </w:r>
    </w:p>
    <w:tbl>
      <w:tblPr>
        <w:tblStyle w:val="TableGrid"/>
        <w:tblW w:type="auto" w:w="0"/>
        <w:jc w:val="center"/>
        <w:tblLayout w:type="fixed"/>
        <w:tblLook w:firstColumn="1" w:firstRow="1" w:lastColumn="0" w:lastRow="0" w:noHBand="0" w:noVBand="1" w:val="04A0"/>
      </w:tblPr>
      <w:tblGrid>
        <w:gridCol w:w="3563"/>
        <w:gridCol w:w="1293"/>
        <w:gridCol w:w="1553"/>
        <w:gridCol w:w="2951"/>
      </w:tblGrid>
      <w:tr>
        <w:tc>
          <w:tcPr>
            <w:tcW w:type="dxa" w:w="3563"/>
            <w:shd w:val="clear" w:color="auto" w:fill="DDEBF7"/>
          </w:tcPr>
          <w:p>
            <w:pPr>
              <w:spacing w:after="0"/>
            </w:pPr>
            <w:r>
              <w:rPr>
                <w:b/>
                <w:sz w:val="19"/>
              </w:rPr>
              <w:t>Where</w:t>
            </w:r>
          </w:p>
        </w:tc>
        <w:tc>
          <w:tcPr>
            <w:tcW w:type="dxa" w:w="1293"/>
            <w:shd w:val="clear" w:color="auto" w:fill="DDEBF7"/>
          </w:tcPr>
          <w:p>
            <w:pPr>
              <w:spacing w:after="0"/>
            </w:pPr>
            <w:r>
              <w:rPr>
                <w:b/>
                <w:sz w:val="19"/>
              </w:rPr>
              <w:t>Model</w:t>
            </w:r>
          </w:p>
        </w:tc>
        <w:tc>
          <w:tcPr>
            <w:tcW w:type="dxa" w:w="1553"/>
            <w:shd w:val="clear" w:color="auto" w:fill="DDEBF7"/>
          </w:tcPr>
          <w:p>
            <w:pPr>
              <w:spacing w:after="0"/>
            </w:pPr>
            <w:r>
              <w:rPr>
                <w:b/>
                <w:sz w:val="19"/>
              </w:rPr>
              <w:t>Retires</w:t>
            </w:r>
          </w:p>
        </w:tc>
        <w:tc>
          <w:tcPr>
            <w:tcW w:type="dxa" w:w="2951"/>
            <w:shd w:val="clear" w:color="auto" w:fill="DDEBF7"/>
          </w:tcPr>
          <w:p>
            <w:pPr>
              <w:spacing w:after="0"/>
            </w:pPr>
            <w:r>
              <w:rPr>
                <w:b/>
                <w:sz w:val="19"/>
              </w:rPr>
              <w:t>What we did</w:t>
            </w:r>
          </w:p>
        </w:tc>
      </w:tr>
      <w:tr>
        <w:tc>
          <w:tcPr>
            <w:tcW w:type="dxa" w:w="3563"/>
          </w:tcPr>
          <w:p>
            <w:pPr>
              <w:spacing w:after="0"/>
            </w:pPr>
            <w:r>
              <w:rPr>
                <w:rFonts w:ascii="Consolas" w:hAnsi="Consolas"/>
                <w:sz w:val="17"/>
              </w:rPr>
              <w:t>app/summarize_ticket.py</w:t>
            </w:r>
            <w:r>
              <w:rPr>
                <w:sz w:val="19"/>
              </w:rPr>
              <w:t xml:space="preserve"> line 18</w:t>
            </w:r>
          </w:p>
        </w:tc>
        <w:tc>
          <w:tcPr>
            <w:tcW w:type="dxa" w:w="1293"/>
          </w:tcPr>
          <w:p>
            <w:pPr>
              <w:spacing w:after="0"/>
            </w:pPr>
            <w:r>
              <w:rPr>
                <w:sz w:val="19"/>
              </w:rPr>
              <w:t>old-model-v1</w:t>
            </w:r>
          </w:p>
        </w:tc>
        <w:tc>
          <w:tcPr>
            <w:tcW w:type="dxa" w:w="1553"/>
          </w:tcPr>
          <w:p>
            <w:pPr>
              <w:spacing w:after="0"/>
            </w:pPr>
            <w:r>
              <w:rPr>
                <w:sz w:val="19"/>
              </w:rPr>
              <w:t>1 Dec 2026</w:t>
            </w:r>
          </w:p>
        </w:tc>
        <w:tc>
          <w:tcPr>
            <w:tcW w:type="dxa" w:w="2951"/>
          </w:tcPr>
          <w:p>
            <w:pPr>
              <w:spacing w:after="0"/>
            </w:pPr>
            <w:r>
              <w:rPr>
                <w:sz w:val="19"/>
              </w:rPr>
              <w:t>Moved to new-model-v2</w:t>
            </w:r>
          </w:p>
        </w:tc>
      </w:tr>
      <w:tr>
        <w:tc>
          <w:tcPr>
            <w:tcW w:type="dxa" w:w="3563"/>
          </w:tcPr>
          <w:p>
            <w:pPr>
              <w:spacing w:after="0"/>
            </w:pPr>
            <w:r>
              <w:rPr>
                <w:rFonts w:ascii="Consolas" w:hAnsi="Consolas"/>
                <w:sz w:val="17"/>
              </w:rPr>
              <w:t>web/src/replyDraft.ts</w:t>
            </w:r>
            <w:r>
              <w:rPr>
                <w:sz w:val="19"/>
              </w:rPr>
              <w:t xml:space="preserve"> line 7 (default for </w:t>
            </w:r>
            <w:r>
              <w:rPr>
                <w:rFonts w:ascii="Consolas" w:hAnsi="Consolas"/>
                <w:sz w:val="17"/>
              </w:rPr>
              <w:t>REPLY_MODEL</w:t>
            </w:r>
            <w:r>
              <w:rPr>
                <w:sz w:val="19"/>
              </w:rPr>
              <w:t>)</w:t>
            </w:r>
          </w:p>
        </w:tc>
        <w:tc>
          <w:tcPr>
            <w:tcW w:type="dxa" w:w="1293"/>
          </w:tcPr>
          <w:p>
            <w:pPr>
              <w:spacing w:after="0"/>
            </w:pPr>
            <w:r>
              <w:rPr>
                <w:sz w:val="19"/>
              </w:rPr>
              <w:t>old-model-v1</w:t>
            </w:r>
          </w:p>
        </w:tc>
        <w:tc>
          <w:tcPr>
            <w:tcW w:type="dxa" w:w="1553"/>
          </w:tcPr>
          <w:p>
            <w:pPr>
              <w:spacing w:after="0"/>
            </w:pPr>
            <w:r>
              <w:rPr>
                <w:sz w:val="19"/>
              </w:rPr>
              <w:t>1 Dec 2026</w:t>
            </w:r>
          </w:p>
        </w:tc>
        <w:tc>
          <w:tcPr>
            <w:tcW w:type="dxa" w:w="2951"/>
          </w:tcPr>
          <w:p>
            <w:pPr>
              <w:spacing w:after="0"/>
            </w:pPr>
            <w:r>
              <w:rPr>
                <w:sz w:val="19"/>
              </w:rPr>
              <w:t>Moved to new-model-v2</w:t>
            </w:r>
          </w:p>
        </w:tc>
      </w:tr>
      <w:tr>
        <w:tc>
          <w:tcPr>
            <w:tcW w:type="dxa" w:w="3563"/>
          </w:tcPr>
          <w:p>
            <w:pPr>
              <w:spacing w:after="0"/>
            </w:pPr>
            <w:r>
              <w:rPr>
                <w:rFonts w:ascii="Consolas" w:hAnsi="Consolas"/>
                <w:sz w:val="17"/>
              </w:rPr>
              <w:t>REPLY_MODEL</w:t>
            </w:r>
            <w:r>
              <w:rPr>
                <w:sz w:val="19"/>
              </w:rPr>
              <w:t xml:space="preserve"> in </w:t>
            </w:r>
            <w:r>
              <w:rPr>
                <w:rFonts w:ascii="Consolas" w:hAnsi="Consolas"/>
                <w:sz w:val="17"/>
              </w:rPr>
              <w:t>.env.example</w:t>
            </w:r>
            <w:r>
              <w:rPr>
                <w:sz w:val="19"/>
              </w:rPr>
              <w:t xml:space="preserve"> and in your hosting settings</w:t>
            </w:r>
          </w:p>
        </w:tc>
        <w:tc>
          <w:tcPr>
            <w:tcW w:type="dxa" w:w="1293"/>
          </w:tcPr>
          <w:p>
            <w:pPr>
              <w:spacing w:after="0"/>
            </w:pPr>
            <w:r>
              <w:rPr>
                <w:sz w:val="19"/>
              </w:rPr>
              <w:t>old-model-v1</w:t>
            </w:r>
          </w:p>
        </w:tc>
        <w:tc>
          <w:tcPr>
            <w:tcW w:type="dxa" w:w="1553"/>
          </w:tcPr>
          <w:p>
            <w:pPr>
              <w:spacing w:after="0"/>
            </w:pPr>
            <w:r>
              <w:rPr>
                <w:sz w:val="19"/>
              </w:rPr>
              <w:t>1 Dec 2026</w:t>
            </w:r>
          </w:p>
        </w:tc>
        <w:tc>
          <w:tcPr>
            <w:tcW w:type="dxa" w:w="2951"/>
          </w:tcPr>
          <w:p>
            <w:pPr>
              <w:spacing w:after="0"/>
            </w:pPr>
            <w:r>
              <w:rPr>
                <w:sz w:val="19"/>
              </w:rPr>
              <w:t xml:space="preserve">Updated the example. </w:t>
            </w:r>
            <w:r>
              <w:rPr>
                <w:b/>
                <w:sz w:val="19"/>
              </w:rPr>
              <w:t>You change the hosting setting</w:t>
            </w:r>
            <w:r>
              <w:rPr>
                <w:sz w:val="19"/>
              </w:rPr>
              <w:t xml:space="preserve"> (section 7)</w:t>
            </w:r>
          </w:p>
        </w:tc>
      </w:tr>
      <w:tr>
        <w:tc>
          <w:tcPr>
            <w:tcW w:type="dxa" w:w="3563"/>
          </w:tcPr>
          <w:p>
            <w:pPr>
              <w:spacing w:after="0"/>
            </w:pPr>
            <w:r>
              <w:rPr>
                <w:rFonts w:ascii="Consolas" w:hAnsi="Consolas"/>
                <w:sz w:val="17"/>
              </w:rPr>
              <w:t>config/settings.yaml</w:t>
            </w:r>
            <w:r>
              <w:rPr>
                <w:sz w:val="19"/>
              </w:rPr>
              <w:t xml:space="preserve"> line 5</w:t>
            </w:r>
          </w:p>
        </w:tc>
        <w:tc>
          <w:tcPr>
            <w:tcW w:type="dxa" w:w="1293"/>
          </w:tcPr>
          <w:p>
            <w:pPr>
              <w:spacing w:after="0"/>
            </w:pPr>
            <w:r>
              <w:rPr>
                <w:sz w:val="19"/>
              </w:rPr>
              <w:t>old-model-v1</w:t>
            </w:r>
          </w:p>
        </w:tc>
        <w:tc>
          <w:tcPr>
            <w:tcW w:type="dxa" w:w="1553"/>
          </w:tcPr>
          <w:p>
            <w:pPr>
              <w:spacing w:after="0"/>
            </w:pPr>
            <w:r>
              <w:rPr>
                <w:sz w:val="19"/>
              </w:rPr>
              <w:t>1 Dec 2026</w:t>
            </w:r>
          </w:p>
        </w:tc>
        <w:tc>
          <w:tcPr>
            <w:tcW w:type="dxa" w:w="2951"/>
          </w:tcPr>
          <w:p>
            <w:pPr>
              <w:spacing w:after="0"/>
            </w:pPr>
            <w:r>
              <w:rPr>
                <w:sz w:val="19"/>
              </w:rPr>
              <w:t>Removed. The code never read this setting</w:t>
            </w:r>
          </w:p>
        </w:tc>
      </w:tr>
      <w:tr>
        <w:tc>
          <w:tcPr>
            <w:tcW w:type="dxa" w:w="3563"/>
          </w:tcPr>
          <w:p>
            <w:pPr>
              <w:spacing w:after="0"/>
            </w:pPr>
            <w:r>
              <w:rPr>
                <w:rFonts w:ascii="Consolas" w:hAnsi="Consolas"/>
                <w:sz w:val="17"/>
              </w:rPr>
              <w:t>scripts/backfill_tags.py</w:t>
            </w:r>
            <w:r>
              <w:rPr>
                <w:sz w:val="19"/>
              </w:rPr>
              <w:t xml:space="preserve"> line 10</w:t>
            </w:r>
          </w:p>
        </w:tc>
        <w:tc>
          <w:tcPr>
            <w:tcW w:type="dxa" w:w="1293"/>
          </w:tcPr>
          <w:p>
            <w:pPr>
              <w:spacing w:after="0"/>
            </w:pPr>
            <w:r>
              <w:rPr>
                <w:sz w:val="19"/>
              </w:rPr>
              <w:t>old-model-v0</w:t>
            </w:r>
          </w:p>
        </w:tc>
        <w:tc>
          <w:tcPr>
            <w:tcW w:type="dxa" w:w="1553"/>
          </w:tcPr>
          <w:p>
            <w:pPr>
              <w:spacing w:after="0"/>
            </w:pPr>
            <w:r>
              <w:rPr>
                <w:sz w:val="19"/>
              </w:rPr>
              <w:t>Already retired (31 Mar 2026)</w:t>
            </w:r>
          </w:p>
        </w:tc>
        <w:tc>
          <w:tcPr>
            <w:tcW w:type="dxa" w:w="2951"/>
          </w:tcPr>
          <w:p>
            <w:pPr>
              <w:spacing w:after="0"/>
            </w:pPr>
            <w:r>
              <w:rPr>
                <w:sz w:val="19"/>
              </w:rPr>
              <w:t>Deleted. Unused since 2023</w:t>
            </w:r>
          </w:p>
        </w:tc>
      </w:tr>
      <w:tr>
        <w:tc>
          <w:tcPr>
            <w:tcW w:type="dxa" w:w="3563"/>
          </w:tcPr>
          <w:p>
            <w:pPr>
              <w:spacing w:after="0"/>
            </w:pPr>
            <w:r>
              <w:rPr>
                <w:rFonts w:ascii="Consolas" w:hAnsi="Consolas"/>
                <w:sz w:val="17"/>
              </w:rPr>
              <w:t>app/classify_ticket.py</w:t>
            </w:r>
            <w:r>
              <w:rPr>
                <w:sz w:val="19"/>
              </w:rPr>
              <w:t xml:space="preserve"> (via </w:t>
            </w:r>
            <w:r>
              <w:rPr>
                <w:rFonts w:ascii="Consolas" w:hAnsi="Consolas"/>
                <w:sz w:val="17"/>
              </w:rPr>
              <w:t>CLASSIFIER_MODEL</w:t>
            </w:r>
            <w:r>
              <w:rPr>
                <w:sz w:val="19"/>
              </w:rPr>
              <w:t>)</w:t>
            </w:r>
          </w:p>
        </w:tc>
        <w:tc>
          <w:tcPr>
            <w:tcW w:type="dxa" w:w="1293"/>
          </w:tcPr>
          <w:p>
            <w:pPr>
              <w:spacing w:after="0"/>
            </w:pPr>
            <w:r>
              <w:rPr>
                <w:sz w:val="19"/>
              </w:rPr>
              <w:t>old-small-v1</w:t>
            </w:r>
          </w:p>
        </w:tc>
        <w:tc>
          <w:tcPr>
            <w:tcW w:type="dxa" w:w="1553"/>
          </w:tcPr>
          <w:p>
            <w:pPr>
              <w:spacing w:after="0"/>
            </w:pPr>
            <w:r>
              <w:rPr>
                <w:sz w:val="19"/>
              </w:rPr>
              <w:t>15 Jan 2027</w:t>
            </w:r>
          </w:p>
        </w:tc>
        <w:tc>
          <w:tcPr>
            <w:tcW w:type="dxa" w:w="2951"/>
          </w:tcPr>
          <w:p>
            <w:pPr>
              <w:spacing w:after="0"/>
            </w:pPr>
            <w:r>
              <w:rPr>
                <w:sz w:val="19"/>
              </w:rPr>
              <w:t>Not in scope, see section 8</w:t>
            </w:r>
          </w:p>
        </w:tc>
      </w:tr>
      <w:tr>
        <w:tc>
          <w:tcPr>
            <w:tcW w:type="dxa" w:w="3563"/>
          </w:tcPr>
          <w:p>
            <w:pPr>
              <w:spacing w:after="0"/>
            </w:pPr>
            <w:r>
              <w:rPr>
                <w:rFonts w:ascii="Consolas" w:hAnsi="Consolas"/>
                <w:sz w:val="17"/>
              </w:rPr>
              <w:t>app/search_index.py</w:t>
            </w:r>
            <w:r>
              <w:rPr>
                <w:sz w:val="19"/>
              </w:rPr>
              <w:t xml:space="preserve"> (via </w:t>
            </w:r>
            <w:r>
              <w:rPr>
                <w:rFonts w:ascii="Consolas" w:hAnsi="Consolas"/>
                <w:sz w:val="17"/>
              </w:rPr>
              <w:t>EMBEDDING_MODEL</w:t>
            </w:r>
            <w:r>
              <w:rPr>
                <w:sz w:val="19"/>
              </w:rPr>
              <w:t>)</w:t>
            </w:r>
          </w:p>
        </w:tc>
        <w:tc>
          <w:tcPr>
            <w:tcW w:type="dxa" w:w="1293"/>
          </w:tcPr>
          <w:p>
            <w:pPr>
              <w:spacing w:after="0"/>
            </w:pPr>
            <w:r>
              <w:rPr>
                <w:sz w:val="19"/>
              </w:rPr>
              <w:t>old-embed-v1</w:t>
            </w:r>
          </w:p>
        </w:tc>
        <w:tc>
          <w:tcPr>
            <w:tcW w:type="dxa" w:w="1553"/>
          </w:tcPr>
          <w:p>
            <w:pPr>
              <w:spacing w:after="0"/>
            </w:pPr>
            <w:r>
              <w:rPr>
                <w:sz w:val="19"/>
              </w:rPr>
              <w:t>30 Apr 2027</w:t>
            </w:r>
          </w:p>
        </w:tc>
        <w:tc>
          <w:tcPr>
            <w:tcW w:type="dxa" w:w="2951"/>
          </w:tcPr>
          <w:p>
            <w:pPr>
              <w:spacing w:after="0"/>
            </w:pPr>
            <w:r>
              <w:rPr>
                <w:sz w:val="19"/>
              </w:rPr>
              <w:t>Not in scope, see section 8</w:t>
            </w:r>
          </w:p>
        </w:tc>
      </w:tr>
      <w:tr>
        <w:tc>
          <w:tcPr>
            <w:tcW w:type="dxa" w:w="3563"/>
          </w:tcPr>
          <w:p>
            <w:pPr>
              <w:spacing w:after="0"/>
            </w:pPr>
            <w:r>
              <w:rPr>
                <w:rFonts w:ascii="Consolas" w:hAnsi="Consolas"/>
                <w:sz w:val="17"/>
              </w:rPr>
              <w:t>web/src/chatWidget.js</w:t>
            </w:r>
            <w:r>
              <w:rPr>
                <w:sz w:val="19"/>
              </w:rPr>
              <w:t xml:space="preserve"> line 9</w:t>
            </w:r>
          </w:p>
        </w:tc>
        <w:tc>
          <w:tcPr>
            <w:tcW w:type="dxa" w:w="1293"/>
          </w:tcPr>
          <w:p>
            <w:pPr>
              <w:spacing w:after="0"/>
            </w:pPr>
            <w:r>
              <w:rPr>
                <w:sz w:val="19"/>
              </w:rPr>
              <w:t>partner-chat-model-x</w:t>
            </w:r>
          </w:p>
        </w:tc>
        <w:tc>
          <w:tcPr>
            <w:tcW w:type="dxa" w:w="1553"/>
          </w:tcPr>
          <w:p>
            <w:pPr>
              <w:spacing w:after="0"/>
            </w:pPr>
            <w:r>
              <w:rPr>
                <w:sz w:val="19"/>
              </w:rPr>
              <w:t>None announced</w:t>
            </w:r>
          </w:p>
        </w:tc>
        <w:tc>
          <w:tcPr>
            <w:tcW w:type="dxa" w:w="2951"/>
          </w:tcPr>
          <w:p>
            <w:pPr>
              <w:spacing w:after="0"/>
            </w:pPr>
            <w:r>
              <w:rPr>
                <w:sz w:val="19"/>
              </w:rPr>
              <w:t>No change. Check again in January</w:t>
            </w:r>
          </w:p>
        </w:tc>
      </w:tr>
    </w:tbl>
    <w:p>
      <w:pPr>
        <w:spacing w:after="40"/>
      </w:pPr>
    </w:p>
    <w:p>
      <w:r>
        <w:rPr/>
        <w:t>The retirement dates come from Provider A's and Provider B's official deprecations pages, checked on 7 October 2026. Providers sometimes move dates, so we will check again on 1 November.</w:t>
      </w:r>
    </w:p>
    <w:p>
      <w:pPr>
        <w:pStyle w:val="Heading1"/>
      </w:pPr>
      <w:r>
        <w:t>4. What we changed</w:t>
      </w:r>
    </w:p>
    <w:tbl>
      <w:tblPr>
        <w:tblStyle w:val="TableGrid"/>
        <w:tblW w:type="auto" w:w="0"/>
        <w:jc w:val="center"/>
        <w:tblLayout w:type="fixed"/>
        <w:tblLook w:firstColumn="1" w:firstRow="1" w:lastColumn="0" w:lastRow="0" w:noHBand="0" w:noVBand="1" w:val="04A0"/>
      </w:tblPr>
      <w:tblGrid>
        <w:gridCol w:w="2169"/>
        <w:gridCol w:w="1856"/>
        <w:gridCol w:w="2420"/>
        <w:gridCol w:w="2916"/>
      </w:tblGrid>
      <w:tr>
        <w:tc>
          <w:tcPr>
            <w:tcW w:type="dxa" w:w="2169"/>
            <w:shd w:val="clear" w:color="auto" w:fill="DDEBF7"/>
          </w:tcPr>
          <w:p>
            <w:pPr>
              <w:spacing w:after="0"/>
            </w:pPr>
            <w:r>
              <w:rPr>
                <w:b/>
                <w:sz w:val="19"/>
              </w:rPr>
              <w:t>File</w:t>
            </w:r>
          </w:p>
        </w:tc>
        <w:tc>
          <w:tcPr>
            <w:tcW w:type="dxa" w:w="1856"/>
            <w:shd w:val="clear" w:color="auto" w:fill="DDEBF7"/>
          </w:tcPr>
          <w:p>
            <w:pPr>
              <w:spacing w:after="0"/>
            </w:pPr>
            <w:r>
              <w:rPr>
                <w:b/>
                <w:sz w:val="19"/>
              </w:rPr>
              <w:t>Before</w:t>
            </w:r>
          </w:p>
        </w:tc>
        <w:tc>
          <w:tcPr>
            <w:tcW w:type="dxa" w:w="2420"/>
            <w:shd w:val="clear" w:color="auto" w:fill="DDEBF7"/>
          </w:tcPr>
          <w:p>
            <w:pPr>
              <w:spacing w:after="0"/>
            </w:pPr>
            <w:r>
              <w:rPr>
                <w:b/>
                <w:sz w:val="19"/>
              </w:rPr>
              <w:t>After</w:t>
            </w:r>
          </w:p>
        </w:tc>
        <w:tc>
          <w:tcPr>
            <w:tcW w:type="dxa" w:w="2916"/>
            <w:shd w:val="clear" w:color="auto" w:fill="DDEBF7"/>
          </w:tcPr>
          <w:p>
            <w:pPr>
              <w:spacing w:after="0"/>
            </w:pPr>
            <w:r>
              <w:rPr>
                <w:b/>
                <w:sz w:val="19"/>
              </w:rPr>
              <w:t>Why</w:t>
            </w:r>
          </w:p>
        </w:tc>
      </w:tr>
      <w:tr>
        <w:tc>
          <w:tcPr>
            <w:tcW w:type="dxa" w:w="2169"/>
          </w:tcPr>
          <w:p>
            <w:pPr>
              <w:spacing w:after="0"/>
            </w:pPr>
            <w:r>
              <w:rPr>
                <w:rFonts w:ascii="Consolas" w:hAnsi="Consolas"/>
                <w:sz w:val="17"/>
              </w:rPr>
              <w:t>app/summarize_ticket.py</w:t>
            </w:r>
          </w:p>
        </w:tc>
        <w:tc>
          <w:tcPr>
            <w:tcW w:type="dxa" w:w="1856"/>
          </w:tcPr>
          <w:p>
            <w:pPr>
              <w:spacing w:after="0"/>
            </w:pPr>
            <w:r>
              <w:rPr>
                <w:sz w:val="19"/>
              </w:rPr>
              <w:t>old-model-v1, typed into the code</w:t>
            </w:r>
          </w:p>
        </w:tc>
        <w:tc>
          <w:tcPr>
            <w:tcW w:type="dxa" w:w="2420"/>
          </w:tcPr>
          <w:p>
            <w:pPr>
              <w:spacing w:after="0"/>
            </w:pPr>
            <w:r>
              <w:rPr>
                <w:sz w:val="19"/>
              </w:rPr>
              <w:t xml:space="preserve">new-model-v2, read from </w:t>
            </w:r>
            <w:r>
              <w:rPr>
                <w:rFonts w:ascii="Consolas" w:hAnsi="Consolas"/>
                <w:sz w:val="17"/>
              </w:rPr>
              <w:t>SUMMARY_MODEL</w:t>
            </w:r>
            <w:r>
              <w:rPr>
                <w:sz w:val="19"/>
              </w:rPr>
              <w:t xml:space="preserve"> in </w:t>
            </w:r>
            <w:r>
              <w:rPr>
                <w:rFonts w:ascii="Consolas" w:hAnsi="Consolas"/>
                <w:sz w:val="17"/>
              </w:rPr>
              <w:t>app/config.py</w:t>
            </w:r>
          </w:p>
        </w:tc>
        <w:tc>
          <w:tcPr>
            <w:tcW w:type="dxa" w:w="2916"/>
          </w:tcPr>
          <w:p>
            <w:pPr>
              <w:spacing w:after="0"/>
            </w:pPr>
            <w:r>
              <w:rPr>
                <w:sz w:val="19"/>
              </w:rPr>
              <w:t>The old model retires. The model name now lives in one place</w:t>
            </w:r>
          </w:p>
        </w:tc>
      </w:tr>
      <w:tr>
        <w:tc>
          <w:tcPr>
            <w:tcW w:type="dxa" w:w="2169"/>
          </w:tcPr>
          <w:p>
            <w:pPr>
              <w:spacing w:after="0"/>
            </w:pPr>
            <w:r>
              <w:rPr>
                <w:rFonts w:ascii="Consolas" w:hAnsi="Consolas"/>
                <w:sz w:val="17"/>
              </w:rPr>
              <w:t>app/summarize_ticket.py</w:t>
            </w:r>
          </w:p>
        </w:tc>
        <w:tc>
          <w:tcPr>
            <w:tcW w:type="dxa" w:w="1856"/>
          </w:tcPr>
          <w:p>
            <w:pPr>
              <w:spacing w:after="0"/>
            </w:pPr>
            <w:r>
              <w:rPr>
                <w:sz w:val="19"/>
              </w:rPr>
              <w:t>One-line prompt</w:t>
            </w:r>
          </w:p>
        </w:tc>
        <w:tc>
          <w:tcPr>
            <w:tcW w:type="dxa" w:w="2420"/>
          </w:tcPr>
          <w:p>
            <w:pPr>
              <w:spacing w:after="0"/>
            </w:pPr>
            <w:r>
              <w:rPr>
                <w:sz w:val="19"/>
              </w:rPr>
              <w:t>Prompt with three rules (below)</w:t>
            </w:r>
          </w:p>
        </w:tc>
        <w:tc>
          <w:tcPr>
            <w:tcW w:type="dxa" w:w="2916"/>
          </w:tcPr>
          <w:p>
            <w:pPr>
              <w:spacing w:after="0"/>
            </w:pPr>
            <w:r>
              <w:rPr>
                <w:sz w:val="19"/>
              </w:rPr>
              <w:t>The new model added greetings and bullet points</w:t>
            </w:r>
          </w:p>
        </w:tc>
      </w:tr>
      <w:tr>
        <w:tc>
          <w:tcPr>
            <w:tcW w:type="dxa" w:w="2169"/>
          </w:tcPr>
          <w:p>
            <w:pPr>
              <w:spacing w:after="0"/>
            </w:pPr>
            <w:r>
              <w:rPr>
                <w:rFonts w:ascii="Consolas" w:hAnsi="Consolas"/>
                <w:sz w:val="17"/>
              </w:rPr>
              <w:t>web/src/replyDraft.ts</w:t>
            </w:r>
          </w:p>
        </w:tc>
        <w:tc>
          <w:tcPr>
            <w:tcW w:type="dxa" w:w="1856"/>
          </w:tcPr>
          <w:p>
            <w:pPr>
              <w:spacing w:after="0"/>
            </w:pPr>
            <w:r>
              <w:rPr>
                <w:sz w:val="19"/>
              </w:rPr>
              <w:t xml:space="preserve">Default old-model-v1, with </w:t>
            </w:r>
            <w:r>
              <w:rPr>
                <w:rFonts w:ascii="Consolas" w:hAnsi="Consolas"/>
                <w:sz w:val="17"/>
              </w:rPr>
              <w:t>top_p</w:t>
            </w:r>
            <w:r>
              <w:rPr>
                <w:sz w:val="19"/>
              </w:rPr>
              <w:t xml:space="preserve"> 0.95</w:t>
            </w:r>
          </w:p>
        </w:tc>
        <w:tc>
          <w:tcPr>
            <w:tcW w:type="dxa" w:w="2420"/>
          </w:tcPr>
          <w:p>
            <w:pPr>
              <w:spacing w:after="0"/>
            </w:pPr>
            <w:r>
              <w:rPr>
                <w:sz w:val="19"/>
              </w:rPr>
              <w:t xml:space="preserve">Default new-model-v2, no </w:t>
            </w:r>
            <w:r>
              <w:rPr>
                <w:rFonts w:ascii="Consolas" w:hAnsi="Consolas"/>
                <w:sz w:val="17"/>
              </w:rPr>
              <w:t>top_p</w:t>
            </w:r>
          </w:p>
        </w:tc>
        <w:tc>
          <w:tcPr>
            <w:tcW w:type="dxa" w:w="2916"/>
          </w:tcPr>
          <w:p>
            <w:pPr>
              <w:spacing w:after="0"/>
            </w:pPr>
            <w:r>
              <w:rPr>
                <w:sz w:val="19"/>
              </w:rPr>
              <w:t xml:space="preserve">The old model retires. The new model rejects </w:t>
            </w:r>
            <w:r>
              <w:rPr>
                <w:rFonts w:ascii="Consolas" w:hAnsi="Consolas"/>
                <w:sz w:val="17"/>
              </w:rPr>
              <w:t>temperature</w:t>
            </w:r>
            <w:r>
              <w:rPr>
                <w:sz w:val="19"/>
              </w:rPr>
              <w:t xml:space="preserve"> and </w:t>
            </w:r>
            <w:r>
              <w:rPr>
                <w:rFonts w:ascii="Consolas" w:hAnsi="Consolas"/>
                <w:sz w:val="17"/>
              </w:rPr>
              <w:t>top_p</w:t>
            </w:r>
            <w:r>
              <w:rPr>
                <w:sz w:val="19"/>
              </w:rPr>
              <w:t xml:space="preserve"> together</w:t>
            </w:r>
          </w:p>
        </w:tc>
      </w:tr>
      <w:tr>
        <w:tc>
          <w:tcPr>
            <w:tcW w:type="dxa" w:w="2169"/>
          </w:tcPr>
          <w:p>
            <w:pPr>
              <w:spacing w:after="0"/>
            </w:pPr>
            <w:r>
              <w:rPr>
                <w:rFonts w:ascii="Consolas" w:hAnsi="Consolas"/>
                <w:sz w:val="17"/>
              </w:rPr>
              <w:t>web/src/replyDraft.ts</w:t>
            </w:r>
          </w:p>
        </w:tc>
        <w:tc>
          <w:tcPr>
            <w:tcW w:type="dxa" w:w="1856"/>
          </w:tcPr>
          <w:p>
            <w:pPr>
              <w:spacing w:after="0"/>
            </w:pPr>
            <w:r>
              <w:rPr>
                <w:sz w:val="19"/>
              </w:rPr>
              <w:t>Prompt</w:t>
            </w:r>
          </w:p>
        </w:tc>
        <w:tc>
          <w:tcPr>
            <w:tcW w:type="dxa" w:w="2420"/>
          </w:tcPr>
          <w:p>
            <w:pPr>
              <w:spacing w:after="0"/>
            </w:pPr>
            <w:r>
              <w:rPr>
                <w:sz w:val="19"/>
              </w:rPr>
              <w:t>Prompt with a word limit and a fixed sign-off</w:t>
            </w:r>
          </w:p>
        </w:tc>
        <w:tc>
          <w:tcPr>
            <w:tcW w:type="dxa" w:w="2916"/>
          </w:tcPr>
          <w:p>
            <w:pPr>
              <w:spacing w:after="0"/>
            </w:pPr>
            <w:r>
              <w:rPr>
                <w:sz w:val="19"/>
              </w:rPr>
              <w:t>Shorter replies, and no promises the policy does not make</w:t>
            </w:r>
          </w:p>
        </w:tc>
      </w:tr>
      <w:tr>
        <w:tc>
          <w:tcPr>
            <w:tcW w:type="dxa" w:w="2169"/>
          </w:tcPr>
          <w:p>
            <w:pPr>
              <w:spacing w:after="0"/>
            </w:pPr>
            <w:r>
              <w:rPr>
                <w:rFonts w:ascii="Consolas" w:hAnsi="Consolas"/>
                <w:sz w:val="17"/>
              </w:rPr>
              <w:t>config/settings.yaml</w:t>
            </w:r>
          </w:p>
        </w:tc>
        <w:tc>
          <w:tcPr>
            <w:tcW w:type="dxa" w:w="1856"/>
          </w:tcPr>
          <w:p>
            <w:pPr>
              <w:spacing w:after="0"/>
            </w:pPr>
            <w:r>
              <w:rPr>
                <w:sz w:val="19"/>
              </w:rPr>
              <w:t>Model setting old-model-v1</w:t>
            </w:r>
          </w:p>
        </w:tc>
        <w:tc>
          <w:tcPr>
            <w:tcW w:type="dxa" w:w="2420"/>
          </w:tcPr>
          <w:p>
            <w:pPr>
              <w:spacing w:after="0"/>
            </w:pPr>
            <w:r>
              <w:rPr>
                <w:sz w:val="19"/>
              </w:rPr>
              <w:t>Setting removed</w:t>
            </w:r>
          </w:p>
        </w:tc>
        <w:tc>
          <w:tcPr>
            <w:tcW w:type="dxa" w:w="2916"/>
          </w:tcPr>
          <w:p>
            <w:pPr>
              <w:spacing w:after="0"/>
            </w:pPr>
            <w:r>
              <w:rPr>
                <w:sz w:val="19"/>
              </w:rPr>
              <w:t>The code never read it</w:t>
            </w:r>
          </w:p>
        </w:tc>
      </w:tr>
      <w:tr>
        <w:tc>
          <w:tcPr>
            <w:tcW w:type="dxa" w:w="2169"/>
          </w:tcPr>
          <w:p>
            <w:pPr>
              <w:spacing w:after="0"/>
            </w:pPr>
            <w:r>
              <w:rPr>
                <w:rFonts w:ascii="Consolas" w:hAnsi="Consolas"/>
                <w:sz w:val="17"/>
              </w:rPr>
              <w:t>scripts/backfill_tags.py</w:t>
            </w:r>
          </w:p>
        </w:tc>
        <w:tc>
          <w:tcPr>
            <w:tcW w:type="dxa" w:w="1856"/>
          </w:tcPr>
          <w:p>
            <w:pPr>
              <w:spacing w:after="0"/>
            </w:pPr>
            <w:r>
              <w:rPr>
                <w:sz w:val="19"/>
              </w:rPr>
              <w:t>Whole file</w:t>
            </w:r>
          </w:p>
        </w:tc>
        <w:tc>
          <w:tcPr>
            <w:tcW w:type="dxa" w:w="2420"/>
          </w:tcPr>
          <w:p>
            <w:pPr>
              <w:spacing w:after="0"/>
            </w:pPr>
            <w:r>
              <w:rPr>
                <w:sz w:val="19"/>
              </w:rPr>
              <w:t>Deleted</w:t>
            </w:r>
          </w:p>
        </w:tc>
        <w:tc>
          <w:tcPr>
            <w:tcW w:type="dxa" w:w="2916"/>
          </w:tcPr>
          <w:p>
            <w:pPr>
              <w:spacing w:after="0"/>
            </w:pPr>
            <w:r>
              <w:rPr>
                <w:sz w:val="19"/>
              </w:rPr>
              <w:t>Unused, and its model is already retired</w:t>
            </w:r>
          </w:p>
        </w:tc>
      </w:tr>
      <w:tr>
        <w:tc>
          <w:tcPr>
            <w:tcW w:type="dxa" w:w="2169"/>
          </w:tcPr>
          <w:p>
            <w:pPr>
              <w:spacing w:after="0"/>
            </w:pPr>
            <w:r>
              <w:rPr>
                <w:rFonts w:ascii="Consolas" w:hAnsi="Consolas"/>
                <w:sz w:val="17"/>
              </w:rPr>
              <w:t>.env.example</w:t>
            </w:r>
          </w:p>
        </w:tc>
        <w:tc>
          <w:tcPr>
            <w:tcW w:type="dxa" w:w="1856"/>
          </w:tcPr>
          <w:p>
            <w:pPr>
              <w:spacing w:after="0"/>
            </w:pPr>
            <w:r>
              <w:rPr>
                <w:rFonts w:ascii="Consolas" w:hAnsi="Consolas"/>
                <w:sz w:val="17"/>
              </w:rPr>
              <w:t>REPLY_MODEL</w:t>
            </w:r>
            <w:r>
              <w:rPr>
                <w:sz w:val="19"/>
              </w:rPr>
              <w:t xml:space="preserve"> = old-model-v1</w:t>
            </w:r>
          </w:p>
        </w:tc>
        <w:tc>
          <w:tcPr>
            <w:tcW w:type="dxa" w:w="2420"/>
          </w:tcPr>
          <w:p>
            <w:pPr>
              <w:spacing w:after="0"/>
            </w:pPr>
            <w:r>
              <w:rPr>
                <w:rFonts w:ascii="Consolas" w:hAnsi="Consolas"/>
                <w:sz w:val="17"/>
              </w:rPr>
              <w:t>REPLY_MODEL</w:t>
            </w:r>
            <w:r>
              <w:rPr>
                <w:sz w:val="19"/>
              </w:rPr>
              <w:t xml:space="preserve"> = new-model-v2</w:t>
            </w:r>
          </w:p>
        </w:tc>
        <w:tc>
          <w:tcPr>
            <w:tcW w:type="dxa" w:w="2916"/>
          </w:tcPr>
          <w:p>
            <w:pPr>
              <w:spacing w:after="0"/>
            </w:pPr>
            <w:r>
              <w:rPr>
                <w:sz w:val="19"/>
              </w:rPr>
              <w:t>Matches the new default</w:t>
            </w:r>
          </w:p>
        </w:tc>
      </w:tr>
    </w:tbl>
    <w:p>
      <w:pPr>
        <w:spacing w:after="40"/>
      </w:pPr>
    </w:p>
    <w:p>
      <w:r>
        <w:rPr>
          <w:b/>
        </w:rPr>
        <w:t>Prompt changes:</w:t>
      </w:r>
      <w:r>
        <w:rPr/>
        <w:t xml:space="preserve"> in a first trial run with the old prompts, the new model started 4 of 6 summaries with a greeting, used bullet points, and once left out the order number. The summarizer prompt now asks for 2 or 3 plain sentences with no greeting or bullet points, tells it to copy the order number exactly, and asks for any date the customer mentions. The reply prompt now limits replies to 120 words, rules out promising delivery dates, and fixes the sign-off.</w:t>
      </w:r>
    </w:p>
    <w:p>
      <w:r>
        <w:rPr>
          <w:b/>
        </w:rPr>
        <w:t>Settings changes:</w:t>
      </w:r>
      <w:r>
        <w:rPr/>
        <w:t xml:space="preserve"> removed </w:t>
      </w:r>
      <w:r>
        <w:rPr>
          <w:rFonts w:ascii="Consolas" w:hAnsi="Consolas"/>
          <w:sz w:val="19"/>
        </w:rPr>
        <w:t>top_p</w:t>
      </w:r>
      <w:r>
        <w:rPr/>
        <w:t xml:space="preserve"> from the reply drafter, because new-model-v2 does not accept it together with </w:t>
      </w:r>
      <w:r>
        <w:rPr>
          <w:rFonts w:ascii="Consolas" w:hAnsi="Consolas"/>
          <w:sz w:val="19"/>
        </w:rPr>
        <w:t>temperature</w:t>
      </w:r>
      <w:r>
        <w:rPr/>
        <w:t>. Temperature is unchanged: 0.3 for summaries, 0.7 for replies.</w:t>
      </w:r>
    </w:p>
    <w:p>
      <w:pPr>
        <w:pStyle w:val="Heading1"/>
      </w:pPr>
      <w:r>
        <w:t>5. Test results</w:t>
      </w:r>
    </w:p>
    <w:p>
      <w:pPr>
        <w:pStyle w:val="ListBullet"/>
        <w:spacing w:after="60"/>
      </w:pPr>
      <w:r>
        <w:rPr>
          <w:b/>
        </w:rPr>
        <w:t>Test set:</w:t>
      </w:r>
      <w:r>
        <w:rPr/>
        <w:t xml:space="preserve"> 10 examples (6 summaries, 4 replies) based on September tickets, with names, emails and addresses changed. It comes with this report, so you can re-use it for the next model change.</w:t>
      </w:r>
    </w:p>
    <w:p>
      <w:pPr>
        <w:pStyle w:val="ListBullet"/>
        <w:spacing w:after="60"/>
      </w:pPr>
      <w:r>
        <w:rPr>
          <w:b/>
        </w:rPr>
        <w:t>Method:</w:t>
      </w:r>
      <w:r>
        <w:rPr/>
        <w:t xml:space="preserve"> each example went through the old setup (old-model-v1, current prompts) and the new setup (new-model-v2, new prompts) with the same input. Your support lead read every pair and graded it.</w:t>
      </w:r>
    </w:p>
    <w:tbl>
      <w:tblPr>
        <w:tblStyle w:val="TableGrid"/>
        <w:tblW w:type="auto" w:w="0"/>
        <w:jc w:val="center"/>
        <w:tblLayout w:type="fixed"/>
        <w:tblLook w:firstColumn="1" w:firstRow="1" w:lastColumn="0" w:lastRow="0" w:noHBand="0" w:noVBand="1" w:val="04A0"/>
      </w:tblPr>
      <w:tblGrid>
        <w:gridCol w:w="7264"/>
        <w:gridCol w:w="2096"/>
      </w:tblGrid>
      <w:tr>
        <w:tc>
          <w:tcPr>
            <w:tcW w:type="dxa" w:w="7264"/>
            <w:shd w:val="clear" w:color="auto" w:fill="DDEBF7"/>
          </w:tcPr>
          <w:p>
            <w:pPr>
              <w:spacing w:after="0"/>
            </w:pPr>
            <w:r>
              <w:rPr>
                <w:b/>
                <w:sz w:val="19"/>
              </w:rPr>
              <w:t>Result</w:t>
            </w:r>
          </w:p>
        </w:tc>
        <w:tc>
          <w:tcPr>
            <w:tcW w:type="dxa" w:w="2096"/>
            <w:shd w:val="clear" w:color="auto" w:fill="DDEBF7"/>
          </w:tcPr>
          <w:p>
            <w:pPr>
              <w:spacing w:after="0"/>
            </w:pPr>
            <w:r>
              <w:rPr>
                <w:b/>
                <w:sz w:val="19"/>
              </w:rPr>
              <w:t>Count</w:t>
            </w:r>
          </w:p>
        </w:tc>
      </w:tr>
      <w:tr>
        <w:tc>
          <w:tcPr>
            <w:tcW w:type="dxa" w:w="7264"/>
          </w:tcPr>
          <w:p>
            <w:pPr>
              <w:spacing w:after="0"/>
            </w:pPr>
            <w:r>
              <w:rPr>
                <w:sz w:val="19"/>
              </w:rPr>
              <w:t>New answer better</w:t>
            </w:r>
          </w:p>
        </w:tc>
        <w:tc>
          <w:tcPr>
            <w:tcW w:type="dxa" w:w="2096"/>
          </w:tcPr>
          <w:p>
            <w:pPr>
              <w:spacing w:after="0"/>
            </w:pPr>
            <w:r>
              <w:rPr>
                <w:sz w:val="19"/>
              </w:rPr>
              <w:t>3</w:t>
            </w:r>
          </w:p>
        </w:tc>
      </w:tr>
      <w:tr>
        <w:tc>
          <w:tcPr>
            <w:tcW w:type="dxa" w:w="7264"/>
          </w:tcPr>
          <w:p>
            <w:pPr>
              <w:spacing w:after="0"/>
            </w:pPr>
            <w:r>
              <w:rPr>
                <w:sz w:val="19"/>
              </w:rPr>
              <w:t>About the same</w:t>
            </w:r>
          </w:p>
        </w:tc>
        <w:tc>
          <w:tcPr>
            <w:tcW w:type="dxa" w:w="2096"/>
          </w:tcPr>
          <w:p>
            <w:pPr>
              <w:spacing w:after="0"/>
            </w:pPr>
            <w:r>
              <w:rPr>
                <w:sz w:val="19"/>
              </w:rPr>
              <w:t>6</w:t>
            </w:r>
          </w:p>
        </w:tc>
      </w:tr>
      <w:tr>
        <w:tc>
          <w:tcPr>
            <w:tcW w:type="dxa" w:w="7264"/>
          </w:tcPr>
          <w:p>
            <w:pPr>
              <w:spacing w:after="0"/>
            </w:pPr>
            <w:r>
              <w:rPr>
                <w:sz w:val="19"/>
              </w:rPr>
              <w:t>Old answer better, new still acceptable</w:t>
            </w:r>
          </w:p>
        </w:tc>
        <w:tc>
          <w:tcPr>
            <w:tcW w:type="dxa" w:w="2096"/>
          </w:tcPr>
          <w:p>
            <w:pPr>
              <w:spacing w:after="0"/>
            </w:pPr>
            <w:r>
              <w:rPr>
                <w:sz w:val="19"/>
              </w:rPr>
              <w:t>1</w:t>
            </w:r>
          </w:p>
        </w:tc>
      </w:tr>
      <w:tr>
        <w:tc>
          <w:tcPr>
            <w:tcW w:type="dxa" w:w="7264"/>
          </w:tcPr>
          <w:p>
            <w:pPr>
              <w:spacing w:after="0"/>
            </w:pPr>
            <w:r>
              <w:rPr>
                <w:sz w:val="19"/>
              </w:rPr>
              <w:t>New answer not acceptable</w:t>
            </w:r>
          </w:p>
        </w:tc>
        <w:tc>
          <w:tcPr>
            <w:tcW w:type="dxa" w:w="2096"/>
          </w:tcPr>
          <w:p>
            <w:pPr>
              <w:spacing w:after="0"/>
            </w:pPr>
            <w:r>
              <w:rPr>
                <w:sz w:val="19"/>
              </w:rPr>
              <w:t>0</w:t>
            </w:r>
          </w:p>
        </w:tc>
      </w:tr>
    </w:tbl>
    <w:p>
      <w:pPr>
        <w:spacing w:after="40"/>
      </w:pPr>
    </w:p>
    <w:p>
      <w:r>
        <w:rPr>
          <w:b/>
        </w:rPr>
        <w:t>What we noticed:</w:t>
      </w:r>
    </w:p>
    <w:p>
      <w:pPr>
        <w:pStyle w:val="ListBullet"/>
        <w:spacing w:after="60"/>
      </w:pPr>
      <w:r>
        <w:rPr/>
        <w:t>New summaries are 14% shorter (162 characters on average, down from 188) and always include the order number. The old model left it out once (case S04).</w:t>
      </w:r>
    </w:p>
    <w:p>
      <w:pPr>
        <w:pStyle w:val="ListBullet"/>
        <w:spacing w:after="60"/>
      </w:pPr>
      <w:r>
        <w:rPr/>
        <w:t>One new summary (case S05) left out the date the return arrived. Your support lead judged it still usable.</w:t>
      </w:r>
    </w:p>
    <w:p>
      <w:pPr>
        <w:pStyle w:val="ListBullet"/>
        <w:spacing w:after="60"/>
      </w:pPr>
      <w:r>
        <w:rPr/>
        <w:t>New replies are 17% shorter and no longer promise delivery dates that the delivery policy does not cover (case R01).</w:t>
      </w:r>
    </w:p>
    <w:p>
      <w:pPr>
        <w:pStyle w:val="ListBullet"/>
        <w:spacing w:after="60"/>
      </w:pPr>
      <w:r>
        <w:rPr/>
        <w:t>Neither model invented an order number when the customer had none (case S06).</w:t>
      </w:r>
    </w:p>
    <w:p>
      <w:r>
        <w:rPr/>
        <w:t xml:space="preserve">The full side-by-side results are in </w:t>
      </w:r>
      <w:r>
        <w:rPr>
          <w:rFonts w:ascii="Consolas" w:hAnsi="Consolas"/>
          <w:sz w:val="19"/>
        </w:rPr>
        <w:t>comparison.xlsx</w:t>
      </w:r>
      <w:r>
        <w:rPr/>
        <w:t>.</w:t>
      </w:r>
    </w:p>
    <w:p>
      <w:pPr>
        <w:pStyle w:val="Heading1"/>
      </w:pPr>
      <w:r>
        <w:t>6. Cost and speed</w:t>
      </w:r>
    </w:p>
    <w:tbl>
      <w:tblPr>
        <w:tblStyle w:val="TableGrid"/>
        <w:tblW w:type="auto" w:w="0"/>
        <w:jc w:val="center"/>
        <w:tblLayout w:type="fixed"/>
        <w:tblLook w:firstColumn="1" w:firstRow="1" w:lastColumn="0" w:lastRow="0" w:noHBand="0" w:noVBand="1" w:val="04A0"/>
      </w:tblPr>
      <w:tblGrid>
        <w:gridCol w:w="4911"/>
        <w:gridCol w:w="1540"/>
        <w:gridCol w:w="1369"/>
        <w:gridCol w:w="1540"/>
      </w:tblGrid>
      <w:tr>
        <w:tc>
          <w:tcPr>
            <w:tcW w:type="dxa" w:w="4911"/>
            <w:shd w:val="clear" w:color="auto" w:fill="DDEBF7"/>
          </w:tcPr>
          <w:p>
            <w:pPr>
              <w:spacing w:after="0"/>
            </w:pPr>
          </w:p>
        </w:tc>
        <w:tc>
          <w:tcPr>
            <w:tcW w:type="dxa" w:w="1540"/>
            <w:shd w:val="clear" w:color="auto" w:fill="DDEBF7"/>
          </w:tcPr>
          <w:p>
            <w:pPr>
              <w:spacing w:after="0"/>
            </w:pPr>
            <w:r>
              <w:rPr>
                <w:b/>
                <w:sz w:val="19"/>
              </w:rPr>
              <w:t>Before</w:t>
            </w:r>
          </w:p>
        </w:tc>
        <w:tc>
          <w:tcPr>
            <w:tcW w:type="dxa" w:w="1369"/>
            <w:shd w:val="clear" w:color="auto" w:fill="DDEBF7"/>
          </w:tcPr>
          <w:p>
            <w:pPr>
              <w:spacing w:after="0"/>
            </w:pPr>
            <w:r>
              <w:rPr>
                <w:b/>
                <w:sz w:val="19"/>
              </w:rPr>
              <w:t>After</w:t>
            </w:r>
          </w:p>
        </w:tc>
        <w:tc>
          <w:tcPr>
            <w:tcW w:type="dxa" w:w="1540"/>
            <w:shd w:val="clear" w:color="auto" w:fill="DDEBF7"/>
          </w:tcPr>
          <w:p>
            <w:pPr>
              <w:spacing w:after="0"/>
            </w:pPr>
            <w:r>
              <w:rPr>
                <w:b/>
                <w:sz w:val="19"/>
              </w:rPr>
              <w:t>Change</w:t>
            </w:r>
          </w:p>
        </w:tc>
      </w:tr>
      <w:tr>
        <w:tc>
          <w:tcPr>
            <w:tcW w:type="dxa" w:w="4911"/>
          </w:tcPr>
          <w:p>
            <w:pPr>
              <w:spacing w:after="0"/>
            </w:pPr>
            <w:r>
              <w:rPr>
                <w:sz w:val="19"/>
              </w:rPr>
              <w:t>Typical response time (median)</w:t>
            </w:r>
          </w:p>
        </w:tc>
        <w:tc>
          <w:tcPr>
            <w:tcW w:type="dxa" w:w="1540"/>
          </w:tcPr>
          <w:p>
            <w:pPr>
              <w:spacing w:after="0"/>
            </w:pPr>
            <w:r>
              <w:rPr>
                <w:sz w:val="19"/>
              </w:rPr>
              <w:t>1.9 s</w:t>
            </w:r>
          </w:p>
        </w:tc>
        <w:tc>
          <w:tcPr>
            <w:tcW w:type="dxa" w:w="1369"/>
          </w:tcPr>
          <w:p>
            <w:pPr>
              <w:spacing w:after="0"/>
            </w:pPr>
            <w:r>
              <w:rPr>
                <w:sz w:val="19"/>
              </w:rPr>
              <w:t>1.1 s</w:t>
            </w:r>
          </w:p>
        </w:tc>
        <w:tc>
          <w:tcPr>
            <w:tcW w:type="dxa" w:w="1540"/>
          </w:tcPr>
          <w:p>
            <w:pPr>
              <w:spacing w:after="0"/>
            </w:pPr>
            <w:r>
              <w:rPr>
                <w:sz w:val="19"/>
              </w:rPr>
              <w:t>-42%</w:t>
            </w:r>
          </w:p>
        </w:tc>
      </w:tr>
      <w:tr>
        <w:tc>
          <w:tcPr>
            <w:tcW w:type="dxa" w:w="4911"/>
          </w:tcPr>
          <w:p>
            <w:pPr>
              <w:spacing w:after="0"/>
            </w:pPr>
            <w:r>
              <w:rPr>
                <w:sz w:val="19"/>
              </w:rPr>
              <w:t>Tokens per request (input / output)</w:t>
            </w:r>
          </w:p>
        </w:tc>
        <w:tc>
          <w:tcPr>
            <w:tcW w:type="dxa" w:w="1540"/>
          </w:tcPr>
          <w:p>
            <w:pPr>
              <w:spacing w:after="0"/>
            </w:pPr>
            <w:r>
              <w:rPr>
                <w:sz w:val="19"/>
              </w:rPr>
              <w:t>94 / 55</w:t>
            </w:r>
          </w:p>
        </w:tc>
        <w:tc>
          <w:tcPr>
            <w:tcW w:type="dxa" w:w="1369"/>
          </w:tcPr>
          <w:p>
            <w:pPr>
              <w:spacing w:after="0"/>
            </w:pPr>
            <w:r>
              <w:rPr>
                <w:sz w:val="19"/>
              </w:rPr>
              <w:t>142 / 52</w:t>
            </w:r>
          </w:p>
        </w:tc>
        <w:tc>
          <w:tcPr>
            <w:tcW w:type="dxa" w:w="1540"/>
          </w:tcPr>
          <w:p>
            <w:pPr>
              <w:spacing w:after="0"/>
            </w:pPr>
            <w:r>
              <w:rPr>
                <w:sz w:val="19"/>
              </w:rPr>
              <w:t>+52% / -6%</w:t>
            </w:r>
          </w:p>
        </w:tc>
      </w:tr>
      <w:tr>
        <w:tc>
          <w:tcPr>
            <w:tcW w:type="dxa" w:w="4911"/>
          </w:tcPr>
          <w:p>
            <w:pPr>
              <w:spacing w:after="0"/>
            </w:pPr>
            <w:r>
              <w:rPr>
                <w:sz w:val="19"/>
              </w:rPr>
              <w:t>Estimated cost per 1,000 requests</w:t>
            </w:r>
          </w:p>
        </w:tc>
        <w:tc>
          <w:tcPr>
            <w:tcW w:type="dxa" w:w="1540"/>
          </w:tcPr>
          <w:p>
            <w:pPr>
              <w:spacing w:after="0"/>
            </w:pPr>
            <w:r>
              <w:rPr>
                <w:sz w:val="19"/>
              </w:rPr>
              <w:t>$0.26</w:t>
            </w:r>
          </w:p>
        </w:tc>
        <w:tc>
          <w:tcPr>
            <w:tcW w:type="dxa" w:w="1369"/>
          </w:tcPr>
          <w:p>
            <w:pPr>
              <w:spacing w:after="0"/>
            </w:pPr>
            <w:r>
              <w:rPr>
                <w:sz w:val="19"/>
              </w:rPr>
              <w:t>$0.24</w:t>
            </w:r>
          </w:p>
        </w:tc>
        <w:tc>
          <w:tcPr>
            <w:tcW w:type="dxa" w:w="1540"/>
          </w:tcPr>
          <w:p>
            <w:pPr>
              <w:spacing w:after="0"/>
            </w:pPr>
            <w:r>
              <w:rPr>
                <w:sz w:val="19"/>
              </w:rPr>
              <w:t>-8%</w:t>
            </w:r>
          </w:p>
        </w:tc>
      </w:tr>
    </w:tbl>
    <w:p>
      <w:pPr>
        <w:spacing w:after="40"/>
      </w:pPr>
    </w:p>
    <w:p>
      <w:r>
        <w:rPr/>
        <w:t>Input tokens went up for two reasons: the new prompts are longer, and new-model-v2 counts about 11% more tokens for the same text. Its lower prices more than make up for it. At about 12,000 requests a month (6,000 tickets, two features each), the cost stays at roughly $3 a month, so cost is not a concern at your volume. Prices come from the providers' pricing pages on 7 October 2026.</w:t>
      </w:r>
    </w:p>
    <w:p>
      <w:pPr>
        <w:pStyle w:val="Heading1"/>
      </w:pPr>
      <w:r>
        <w:t>7. Release and rollback</w:t>
      </w:r>
    </w:p>
    <w:p>
      <w:pPr>
        <w:tabs>
          <w:tab w:pos="360" w:val="left"/>
        </w:tabs>
        <w:spacing w:after="60"/>
        <w:ind w:left="360" w:hanging="360"/>
      </w:pPr>
      <w:r>
        <w:rPr/>
        <w:t>1.</w:t>
        <w:tab/>
      </w:r>
      <w:r>
        <w:rPr/>
        <w:t xml:space="preserve">Review and merge pull request #42 (branch </w:t>
      </w:r>
      <w:r>
        <w:rPr>
          <w:rFonts w:ascii="Consolas" w:hAnsi="Consolas"/>
          <w:sz w:val="19"/>
        </w:rPr>
        <w:t>model-update-2026-10</w:t>
      </w:r>
      <w:r>
        <w:rPr/>
        <w:t xml:space="preserve">) into </w:t>
      </w:r>
      <w:r>
        <w:rPr>
          <w:rFonts w:ascii="Consolas" w:hAnsi="Consolas"/>
          <w:sz w:val="19"/>
        </w:rPr>
        <w:t>main</w:t>
      </w:r>
      <w:r>
        <w:rPr/>
        <w:t>.</w:t>
      </w:r>
    </w:p>
    <w:p>
      <w:pPr>
        <w:tabs>
          <w:tab w:pos="360" w:val="left"/>
        </w:tabs>
        <w:spacing w:after="60"/>
        <w:ind w:left="360" w:hanging="360"/>
      </w:pPr>
      <w:r>
        <w:rPr/>
        <w:t>2.</w:t>
        <w:tab/>
      </w:r>
      <w:r>
        <w:rPr>
          <w:b/>
        </w:rPr>
        <w:t xml:space="preserve">Change the hosting setting </w:t>
      </w:r>
      <w:r>
        <w:rPr>
          <w:rFonts w:ascii="Consolas" w:hAnsi="Consolas"/>
          <w:b/>
          <w:sz w:val="19"/>
        </w:rPr>
        <w:t>REPLY_MODEL</w:t>
      </w:r>
      <w:r>
        <w:rPr>
          <w:b/>
        </w:rPr>
        <w:t xml:space="preserve"> from old-model-v1 to new-model-v2</w:t>
      </w:r>
      <w:r>
        <w:rPr/>
        <w:t>, in staging and in production. The new default in the code is not enough, because the hosting setting overrides it.</w:t>
      </w:r>
    </w:p>
    <w:p>
      <w:pPr>
        <w:tabs>
          <w:tab w:pos="360" w:val="left"/>
        </w:tabs>
        <w:spacing w:after="60"/>
        <w:ind w:left="360" w:hanging="360"/>
      </w:pPr>
      <w:r>
        <w:rPr/>
        <w:t>3.</w:t>
        <w:tab/>
      </w:r>
      <w:r>
        <w:rPr/>
        <w:t>Deploy to staging and try 3 real tickets in both the summarizer and the reply drafter.</w:t>
      </w:r>
    </w:p>
    <w:p>
      <w:pPr>
        <w:tabs>
          <w:tab w:pos="360" w:val="left"/>
        </w:tabs>
        <w:spacing w:after="60"/>
        <w:ind w:left="360" w:hanging="360"/>
      </w:pPr>
      <w:r>
        <w:rPr/>
        <w:t>4.</w:t>
        <w:tab/>
      </w:r>
      <w:r>
        <w:rPr/>
        <w:t>Release to production on a quiet morning, by 20 November, to leave a buffer before the deadline.</w:t>
      </w:r>
    </w:p>
    <w:p>
      <w:pPr>
        <w:tabs>
          <w:tab w:pos="360" w:val="left"/>
        </w:tabs>
        <w:spacing w:after="60"/>
        <w:ind w:left="360" w:hanging="360"/>
      </w:pPr>
      <w:r>
        <w:rPr/>
        <w:t>5.</w:t>
        <w:tab/>
      </w:r>
      <w:r>
        <w:rPr/>
        <w:t>Watch the error logs and your agents' feedback for 7 days.</w:t>
      </w:r>
    </w:p>
    <w:p>
      <w:pPr>
        <w:tabs>
          <w:tab w:pos="360" w:val="left"/>
        </w:tabs>
        <w:spacing w:after="60"/>
        <w:ind w:left="360" w:hanging="360"/>
      </w:pPr>
      <w:r>
        <w:rPr/>
        <w:t>6.</w:t>
        <w:tab/>
      </w:r>
      <w:r>
        <w:rPr>
          <w:b/>
        </w:rPr>
        <w:t>Rollback:</w:t>
      </w:r>
      <w:r>
        <w:rPr/>
        <w:t xml:space="preserve"> revert the merge and set </w:t>
      </w:r>
      <w:r>
        <w:rPr>
          <w:rFonts w:ascii="Consolas" w:hAnsi="Consolas"/>
          <w:sz w:val="19"/>
        </w:rPr>
        <w:t>REPLY_MODEL</w:t>
      </w:r>
      <w:r>
        <w:rPr/>
        <w:t xml:space="preserve"> back to old-model-v1. This only works until 1 December 2026. After that, the old model no longer answers.</w:t>
      </w:r>
    </w:p>
    <w:p>
      <w:pPr>
        <w:pStyle w:val="Heading1"/>
      </w:pPr>
      <w:r>
        <w:t>8. Risks and recommendations</w:t>
      </w:r>
    </w:p>
    <w:p>
      <w:pPr>
        <w:pStyle w:val="ListBullet"/>
        <w:spacing w:after="60"/>
      </w:pPr>
      <w:r>
        <w:rPr>
          <w:b/>
        </w:rPr>
        <w:t>Ticket classifier:</w:t>
      </w:r>
      <w:r>
        <w:rPr/>
        <w:t xml:space="preserve"> </w:t>
      </w:r>
      <w:r>
        <w:rPr>
          <w:rFonts w:ascii="Consolas" w:hAnsi="Consolas"/>
          <w:sz w:val="19"/>
        </w:rPr>
        <w:t>app/classify_ticket.py</w:t>
      </w:r>
      <w:r>
        <w:rPr/>
        <w:t xml:space="preserve"> uses old-small-v1 from Provider B, which retires on 15 January 2027. Move it by mid-December in the same way. We can quote this separately.</w:t>
      </w:r>
    </w:p>
    <w:p>
      <w:pPr>
        <w:pStyle w:val="ListBullet"/>
        <w:spacing w:after="60"/>
      </w:pPr>
      <w:r>
        <w:rPr>
          <w:b/>
        </w:rPr>
        <w:t>Help-article search:</w:t>
      </w:r>
      <w:r>
        <w:rPr/>
        <w:t xml:space="preserve"> </w:t>
      </w:r>
      <w:r>
        <w:rPr>
          <w:rFonts w:ascii="Consolas" w:hAnsi="Consolas"/>
          <w:sz w:val="19"/>
        </w:rPr>
        <w:t>app/search_index.py</w:t>
      </w:r>
      <w:r>
        <w:rPr/>
        <w:t xml:space="preserve"> uses old-embed-v1, which retires on 30 April 2027. A new embedding model means re-processing every stored help article and re-testing search quality. Plan it as its own small project in the first quarter.</w:t>
      </w:r>
    </w:p>
    <w:p>
      <w:pPr>
        <w:pStyle w:val="ListBullet"/>
        <w:spacing w:after="60"/>
      </w:pPr>
      <w:r>
        <w:rPr>
          <w:b/>
        </w:rPr>
        <w:t>Website chat widget:</w:t>
      </w:r>
      <w:r>
        <w:rPr/>
        <w:t xml:space="preserve"> uses partner-chat-model-x. No retirement is announced yet. Check again in January.</w:t>
      </w:r>
    </w:p>
    <w:p>
      <w:pPr>
        <w:pStyle w:val="ListBullet"/>
        <w:spacing w:after="60"/>
      </w:pPr>
      <w:r>
        <w:rPr>
          <w:b/>
        </w:rPr>
        <w:t>Hosting settings:</w:t>
      </w:r>
      <w:r>
        <w:rPr/>
        <w:t xml:space="preserve"> </w:t>
      </w:r>
      <w:r>
        <w:rPr>
          <w:rFonts w:ascii="Consolas" w:hAnsi="Consolas"/>
          <w:sz w:val="19"/>
        </w:rPr>
        <w:t>CLASSIFIER_MODEL</w:t>
      </w:r>
      <w:r>
        <w:rPr/>
        <w:t xml:space="preserve"> is also set in your hosting settings. You confirmed that production uses old-small-v1.</w:t>
      </w:r>
    </w:p>
    <w:p>
      <w:pPr>
        <w:pStyle w:val="ListBullet"/>
        <w:spacing w:after="60"/>
      </w:pPr>
      <w:r>
        <w:rPr>
          <w:b/>
        </w:rPr>
        <w:t>Reminders:</w:t>
      </w:r>
      <w:r>
        <w:rPr/>
        <w:t xml:space="preserve"> put a reminder in the calendar 90 days before each date above. The scan and this test set can be re-run in minutes.</w:t>
      </w:r>
    </w:p>
    <w:p>
      <w:pPr>
        <w:pStyle w:val="Heading1"/>
      </w:pPr>
      <w:r>
        <w:t>9. Handover</w:t>
      </w:r>
    </w:p>
    <w:p>
      <w:pPr>
        <w:pStyle w:val="ListBullet"/>
        <w:spacing w:after="60"/>
      </w:pPr>
      <w:r>
        <w:rPr>
          <w:b/>
        </w:rPr>
        <w:t>Code changes:</w:t>
      </w:r>
      <w:r>
        <w:rPr/>
        <w:t xml:space="preserve"> pull request #42, branch </w:t>
      </w:r>
      <w:r>
        <w:rPr>
          <w:rFonts w:ascii="Consolas" w:hAnsi="Consolas"/>
          <w:sz w:val="19"/>
        </w:rPr>
        <w:t>model-update-2026-10</w:t>
      </w:r>
    </w:p>
    <w:p>
      <w:pPr>
        <w:pStyle w:val="ListBullet"/>
        <w:spacing w:after="60"/>
      </w:pPr>
      <w:r>
        <w:rPr>
          <w:b/>
        </w:rPr>
        <w:t>Test set:</w:t>
      </w:r>
      <w:r>
        <w:rPr/>
        <w:t xml:space="preserve"> </w:t>
      </w:r>
      <w:r>
        <w:rPr>
          <w:rFonts w:ascii="Consolas" w:hAnsi="Consolas"/>
          <w:sz w:val="19"/>
        </w:rPr>
        <w:t>test_set.jsonl</w:t>
      </w:r>
      <w:r>
        <w:rPr/>
        <w:t>, 10 examples</w:t>
      </w:r>
    </w:p>
    <w:p>
      <w:pPr>
        <w:pStyle w:val="ListBullet"/>
        <w:spacing w:after="60"/>
      </w:pPr>
      <w:r>
        <w:rPr>
          <w:b/>
        </w:rPr>
        <w:t>How to re-run the comparison:</w:t>
      </w:r>
      <w:r>
        <w:rPr/>
        <w:t xml:space="preserve"> </w:t>
      </w:r>
      <w:r>
        <w:rPr>
          <w:rFonts w:ascii="Consolas" w:hAnsi="Consolas"/>
          <w:sz w:val="19"/>
        </w:rPr>
        <w:t>python compare_runs.py --tests test_set.jsonl --old runner_old.json --new runner_new.json --out comparison.xlsx</w:t>
      </w:r>
    </w:p>
    <w:p>
      <w:pPr>
        <w:pStyle w:val="ListBullet"/>
        <w:spacing w:after="60"/>
      </w:pPr>
      <w:r>
        <w:rPr>
          <w:b/>
        </w:rPr>
        <w:t>Full scan of model references:</w:t>
      </w:r>
      <w:r>
        <w:rPr/>
        <w:t xml:space="preserve"> </w:t>
      </w:r>
      <w:r>
        <w:rPr>
          <w:rFonts w:ascii="Consolas" w:hAnsi="Consolas"/>
          <w:sz w:val="19"/>
        </w:rPr>
        <w:t>model_scan.md</w:t>
      </w:r>
      <w:r>
        <w:rPr/>
        <w:t xml:space="preserve"> (attached)</w:t>
      </w:r>
    </w:p>
    <w:p>
      <w:pPr>
        <w:pStyle w:val="ListBullet"/>
        <w:spacing w:after="60"/>
      </w:pPr>
      <w:r>
        <w:rPr>
          <w:b/>
        </w:rPr>
        <w:t>Questions:</w:t>
      </w:r>
      <w:r>
        <w:rPr/>
        <w:t xml:space="preserve"> [Your name], [your email]</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Fictional sample report  ·  </w:t>
    </w:r>
    <w:r>
      <w:rPr>
        <w:sz w:val="17"/>
      </w:rPr>
      <w:t xml:space="preserve">Page </w:t>
    </w:r>
    <w:r>
      <w:rPr>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model update report: Acme support helper</dc:title>
  <dc:subject/>
  <dc:creator/>
  <cp:keywords/>
  <dc:description/>
  <cp:lastModifiedBy/>
  <cp:revision>1</cp:revision>
  <dcterms:created xsi:type="dcterms:W3CDTF">2013-12-23T23:15:00Z</dcterms:created>
  <dcterms:modified xsi:type="dcterms:W3CDTF">2013-12-23T23:15:00Z</dcterms:modified>
  <cp:category/>
</cp:coreProperties>
</file>