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model update report: [FEATURE OR APP NAME]</w:t>
      </w:r>
    </w:p>
    <w:p>
      <w:r>
        <w:rPr>
          <w:b/>
        </w:rPr>
        <w:t>Prepared for:</w:t>
      </w:r>
      <w:r>
        <w:rPr/>
        <w:t xml:space="preserve"> [CLIENT NAME] · </w:t>
      </w:r>
      <w:r>
        <w:rPr>
          <w:b/>
        </w:rPr>
        <w:t>Prepared by:</w:t>
      </w:r>
      <w:r>
        <w:rPr/>
        <w:t xml:space="preserve"> [YOUR NAME], [YOUR EMAIL] · </w:t>
      </w:r>
      <w:r>
        <w:rPr>
          <w:b/>
        </w:rPr>
        <w:t>Date:</w:t>
      </w:r>
      <w:r>
        <w:rPr/>
        <w:t xml:space="preserve"> [YYYY-MM-DD] · </w:t>
      </w:r>
      <w:r>
        <w:rPr>
          <w:b/>
        </w:rPr>
        <w:t>Version:</w:t>
      </w:r>
      <w:r>
        <w:rPr/>
        <w:t xml:space="preserve"> 1.0</w:t>
      </w:r>
    </w:p>
    <w:p>
      <w:pPr>
        <w:pStyle w:val="Heading1"/>
      </w:pPr>
      <w:r>
        <w:t>1. Summary</w:t>
      </w:r>
    </w:p>
    <w:p>
      <w:r>
        <w:rPr/>
        <w:t>[Two to four sentences. Example: Your [FEATURE] used [OLD MODEL], which [PROVIDER] retires on [DATE]. After that date the feature would stop working. We moved it to [NEW MODEL], adjusted the prompt, and compared old and new answers on [N] real examples. The new version was as good or better in [X] of [N] cases and is ready to release.]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8"/>
        <w:gridCol w:w="1988"/>
        <w:gridCol w:w="3234"/>
      </w:tblGrid>
      <w:tr>
        <w:tc>
          <w:tcPr>
            <w:tcW w:type="dxa" w:w="4138"/>
            <w:shd w:val="clear" w:color="auto" w:fill="DDEBF7"/>
          </w:tcPr>
          <w:p>
            <w:pPr>
              <w:spacing w:after="0"/>
            </w:pPr>
          </w:p>
        </w:tc>
        <w:tc>
          <w:tcPr>
            <w:tcW w:type="dxa" w:w="1988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Before</w:t>
            </w:r>
          </w:p>
        </w:tc>
        <w:tc>
          <w:tcPr>
            <w:tcW w:type="dxa" w:w="3234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After</w:t>
            </w:r>
          </w:p>
        </w:tc>
      </w:tr>
      <w:tr>
        <w:tc>
          <w:tcPr>
            <w:tcW w:type="dxa" w:w="4138"/>
          </w:tcPr>
          <w:p>
            <w:pPr>
              <w:spacing w:after="0"/>
            </w:pPr>
            <w:r>
              <w:rPr>
                <w:sz w:val="19"/>
              </w:rPr>
              <w:t>Model</w:t>
            </w:r>
          </w:p>
        </w:tc>
        <w:tc>
          <w:tcPr>
            <w:tcW w:type="dxa" w:w="1988"/>
          </w:tcPr>
          <w:p>
            <w:pPr>
              <w:spacing w:after="0"/>
            </w:pPr>
            <w:r>
              <w:rPr>
                <w:sz w:val="19"/>
              </w:rPr>
              <w:t>[OLD MODEL]</w:t>
            </w:r>
          </w:p>
        </w:tc>
        <w:tc>
          <w:tcPr>
            <w:tcW w:type="dxa" w:w="3234"/>
          </w:tcPr>
          <w:p>
            <w:pPr>
              <w:spacing w:after="0"/>
            </w:pPr>
            <w:r>
              <w:rPr>
                <w:sz w:val="19"/>
              </w:rPr>
              <w:t>[NEW MODEL]</w:t>
            </w:r>
          </w:p>
        </w:tc>
      </w:tr>
      <w:tr>
        <w:tc>
          <w:tcPr>
            <w:tcW w:type="dxa" w:w="4138"/>
          </w:tcPr>
          <w:p>
            <w:pPr>
              <w:spacing w:after="0"/>
            </w:pPr>
            <w:r>
              <w:rPr>
                <w:sz w:val="19"/>
              </w:rPr>
              <w:t>Retirement date</w:t>
            </w:r>
          </w:p>
        </w:tc>
        <w:tc>
          <w:tcPr>
            <w:tcW w:type="dxa" w:w="1988"/>
          </w:tcPr>
          <w:p>
            <w:pPr>
              <w:spacing w:after="0"/>
            </w:pPr>
            <w:r>
              <w:rPr>
                <w:sz w:val="19"/>
              </w:rPr>
              <w:t>[DATE]</w:t>
            </w:r>
          </w:p>
        </w:tc>
        <w:tc>
          <w:tcPr>
            <w:tcW w:type="dxa" w:w="3234"/>
          </w:tcPr>
          <w:p>
            <w:pPr>
              <w:spacing w:after="0"/>
            </w:pPr>
            <w:r>
              <w:rPr>
                <w:sz w:val="19"/>
              </w:rPr>
              <w:t>[DATE, or "none announced"]</w:t>
            </w:r>
          </w:p>
        </w:tc>
      </w:tr>
      <w:tr>
        <w:tc>
          <w:tcPr>
            <w:tcW w:type="dxa" w:w="4138"/>
          </w:tcPr>
          <w:p>
            <w:pPr>
              <w:spacing w:after="0"/>
            </w:pPr>
            <w:r>
              <w:rPr>
                <w:sz w:val="19"/>
              </w:rPr>
              <w:t>Automatic checks passed</w:t>
            </w:r>
          </w:p>
        </w:tc>
        <w:tc>
          <w:tcPr>
            <w:tcW w:type="dxa" w:w="1988"/>
          </w:tcPr>
          <w:p>
            <w:pPr>
              <w:spacing w:after="0"/>
            </w:pPr>
            <w:r>
              <w:rPr>
                <w:sz w:val="19"/>
              </w:rPr>
              <w:t>[X of N]</w:t>
            </w:r>
          </w:p>
        </w:tc>
        <w:tc>
          <w:tcPr>
            <w:tcW w:type="dxa" w:w="3234"/>
          </w:tcPr>
          <w:p>
            <w:pPr>
              <w:spacing w:after="0"/>
            </w:pPr>
            <w:r>
              <w:rPr>
                <w:sz w:val="19"/>
              </w:rPr>
              <w:t>[Y of N]</w:t>
            </w:r>
          </w:p>
        </w:tc>
      </w:tr>
      <w:tr>
        <w:tc>
          <w:tcPr>
            <w:tcW w:type="dxa" w:w="4138"/>
          </w:tcPr>
          <w:p>
            <w:pPr>
              <w:spacing w:after="0"/>
            </w:pPr>
            <w:r>
              <w:rPr>
                <w:sz w:val="19"/>
              </w:rPr>
              <w:t>Typical response time</w:t>
            </w:r>
          </w:p>
        </w:tc>
        <w:tc>
          <w:tcPr>
            <w:tcW w:type="dxa" w:w="1988"/>
          </w:tcPr>
          <w:p>
            <w:pPr>
              <w:spacing w:after="0"/>
            </w:pPr>
            <w:r>
              <w:rPr>
                <w:sz w:val="19"/>
              </w:rPr>
              <w:t>[X.X seconds]</w:t>
            </w:r>
          </w:p>
        </w:tc>
        <w:tc>
          <w:tcPr>
            <w:tcW w:type="dxa" w:w="3234"/>
          </w:tcPr>
          <w:p>
            <w:pPr>
              <w:spacing w:after="0"/>
            </w:pPr>
            <w:r>
              <w:rPr>
                <w:sz w:val="19"/>
              </w:rPr>
              <w:t>[Y.Y seconds]</w:t>
            </w:r>
          </w:p>
        </w:tc>
      </w:tr>
      <w:tr>
        <w:tc>
          <w:tcPr>
            <w:tcW w:type="dxa" w:w="4138"/>
          </w:tcPr>
          <w:p>
            <w:pPr>
              <w:spacing w:after="0"/>
            </w:pPr>
            <w:r>
              <w:rPr>
                <w:sz w:val="19"/>
              </w:rPr>
              <w:t>Estimated cost per 1,000 requests</w:t>
            </w:r>
          </w:p>
        </w:tc>
        <w:tc>
          <w:tcPr>
            <w:tcW w:type="dxa" w:w="1988"/>
          </w:tcPr>
          <w:p>
            <w:pPr>
              <w:spacing w:after="0"/>
            </w:pPr>
            <w:r>
              <w:rPr>
                <w:sz w:val="19"/>
              </w:rPr>
              <w:t>[$X.XX]</w:t>
            </w:r>
          </w:p>
        </w:tc>
        <w:tc>
          <w:tcPr>
            <w:tcW w:type="dxa" w:w="3234"/>
          </w:tcPr>
          <w:p>
            <w:pPr>
              <w:spacing w:after="0"/>
            </w:pPr>
            <w:r>
              <w:rPr>
                <w:sz w:val="19"/>
              </w:rPr>
              <w:t>[$Y.YY]</w:t>
            </w:r>
          </w:p>
        </w:tc>
      </w:tr>
    </w:tbl>
    <w:p>
      <w:pPr>
        <w:spacing w:after="40"/>
      </w:pPr>
    </w:p>
    <w:p>
      <w:r>
        <w:rPr>
          <w:b/>
        </w:rPr>
        <w:t>Human review:</w:t>
      </w:r>
      <w:r>
        <w:rPr/>
        <w:t xml:space="preserve"> the new answer was as good as or better than the old one in [X] of [N] cases, and acceptable in [Y] of [N].</w:t>
      </w:r>
    </w:p>
    <w:p>
      <w:r>
        <w:rPr>
          <w:b/>
        </w:rPr>
        <w:t>What you need to do:</w:t>
      </w:r>
      <w:r>
        <w:rPr/>
        <w:t xml:space="preserve"> [Example: review and merge pull request [NUMBER] before [DATE], then release it. Section 7 has the release and rollback steps.]</w:t>
      </w:r>
    </w:p>
    <w:p>
      <w:pPr>
        <w:pStyle w:val="Heading1"/>
      </w:pPr>
      <w:r>
        <w:t>2. Scope</w:t>
      </w:r>
    </w:p>
    <w:p>
      <w:pPr>
        <w:pStyle w:val="ListBullet"/>
        <w:spacing w:after="60"/>
      </w:pPr>
      <w:r>
        <w:rPr>
          <w:b/>
        </w:rPr>
        <w:t>Included:</w:t>
      </w:r>
      <w:r>
        <w:rPr/>
        <w:t xml:space="preserve"> [features and files, for example the ticket summarizer]</w:t>
      </w:r>
    </w:p>
    <w:p>
      <w:pPr>
        <w:pStyle w:val="ListBullet"/>
        <w:spacing w:after="60"/>
      </w:pPr>
      <w:r>
        <w:rPr>
          <w:b/>
        </w:rPr>
        <w:t>Not included:</w:t>
      </w:r>
      <w:r>
        <w:rPr/>
        <w:t xml:space="preserve"> [for example embeddings, fine-tuned models, other apps]</w:t>
      </w:r>
    </w:p>
    <w:p>
      <w:pPr>
        <w:pStyle w:val="ListBullet"/>
        <w:spacing w:after="60"/>
      </w:pPr>
      <w:r>
        <w:rPr>
          <w:b/>
        </w:rPr>
        <w:t>Where we worked:</w:t>
      </w:r>
      <w:r>
        <w:rPr/>
        <w:t xml:space="preserve"> branch </w:t>
      </w:r>
      <w:r>
        <w:rPr>
          <w:rFonts w:ascii="Consolas" w:hAnsi="Consolas"/>
          <w:sz w:val="19"/>
        </w:rPr>
        <w:t>[BRANCH NAME]</w:t>
      </w:r>
      <w:r>
        <w:rPr/>
        <w:t xml:space="preserve"> in [REPOSITORY]. Tests ran in [STAGING] with your own API key. Nothing was changed in production.</w:t>
      </w:r>
    </w:p>
    <w:p>
      <w:pPr>
        <w:pStyle w:val="Heading1"/>
      </w:pPr>
      <w:r>
        <w:t>3. What we found</w:t>
      </w:r>
    </w:p>
    <w:p>
      <w:r>
        <w:rPr/>
        <w:t>We scanned [N] files and found [N] places where an AI model is chosen. [N] of them use a model that is already retired or retires within 90 days.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1625"/>
        <w:gridCol w:w="1625"/>
        <w:gridCol w:w="3835"/>
      </w:tblGrid>
      <w:tr>
        <w:tc>
          <w:tcPr>
            <w:tcW w:type="dxa" w:w="2275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Where</w:t>
            </w:r>
          </w:p>
        </w:tc>
        <w:tc>
          <w:tcPr>
            <w:tcW w:type="dxa" w:w="1625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Model</w:t>
            </w:r>
          </w:p>
        </w:tc>
        <w:tc>
          <w:tcPr>
            <w:tcW w:type="dxa" w:w="1625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Retires</w:t>
            </w:r>
          </w:p>
        </w:tc>
        <w:tc>
          <w:tcPr>
            <w:tcW w:type="dxa" w:w="3835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What we did</w:t>
            </w:r>
          </w:p>
        </w:tc>
      </w:tr>
      <w:tr>
        <w:tc>
          <w:tcPr>
            <w:tcW w:type="dxa" w:w="2275"/>
          </w:tcPr>
          <w:p>
            <w:pPr>
              <w:spacing w:after="0"/>
            </w:pPr>
            <w:r>
              <w:rPr>
                <w:sz w:val="19"/>
              </w:rPr>
              <w:t>[file:line]</w:t>
            </w:r>
          </w:p>
        </w:tc>
        <w:tc>
          <w:tcPr>
            <w:tcW w:type="dxa" w:w="1625"/>
          </w:tcPr>
          <w:p>
            <w:pPr>
              <w:spacing w:after="0"/>
            </w:pPr>
            <w:r>
              <w:rPr>
                <w:sz w:val="19"/>
              </w:rPr>
              <w:t>[OLD MODEL]</w:t>
            </w:r>
          </w:p>
        </w:tc>
        <w:tc>
          <w:tcPr>
            <w:tcW w:type="dxa" w:w="1625"/>
          </w:tcPr>
          <w:p>
            <w:pPr>
              <w:spacing w:after="0"/>
            </w:pPr>
            <w:r>
              <w:rPr>
                <w:sz w:val="19"/>
              </w:rPr>
              <w:t>[DATE]</w:t>
            </w:r>
          </w:p>
        </w:tc>
        <w:tc>
          <w:tcPr>
            <w:tcW w:type="dxa" w:w="3835"/>
          </w:tcPr>
          <w:p>
            <w:pPr>
              <w:spacing w:after="0"/>
            </w:pPr>
            <w:r>
              <w:rPr>
                <w:sz w:val="19"/>
              </w:rPr>
              <w:t>[Moved to NEW MODEL]</w:t>
            </w:r>
          </w:p>
        </w:tc>
      </w:tr>
      <w:tr>
        <w:tc>
          <w:tcPr>
            <w:tcW w:type="dxa" w:w="2275"/>
          </w:tcPr>
          <w:p>
            <w:pPr>
              <w:spacing w:after="0"/>
            </w:pPr>
            <w:r>
              <w:rPr>
                <w:sz w:val="19"/>
              </w:rPr>
              <w:t>[file:line]</w:t>
            </w:r>
          </w:p>
        </w:tc>
        <w:tc>
          <w:tcPr>
            <w:tcW w:type="dxa" w:w="1625"/>
          </w:tcPr>
          <w:p>
            <w:pPr>
              <w:spacing w:after="0"/>
            </w:pPr>
            <w:r>
              <w:rPr>
                <w:sz w:val="19"/>
              </w:rPr>
              <w:t>[MODEL]</w:t>
            </w:r>
          </w:p>
        </w:tc>
        <w:tc>
          <w:tcPr>
            <w:tcW w:type="dxa" w:w="1625"/>
          </w:tcPr>
          <w:p>
            <w:pPr>
              <w:spacing w:after="0"/>
            </w:pPr>
            <w:r>
              <w:rPr>
                <w:sz w:val="19"/>
              </w:rPr>
              <w:t>[DATE]</w:t>
            </w:r>
          </w:p>
        </w:tc>
        <w:tc>
          <w:tcPr>
            <w:tcW w:type="dxa" w:w="3835"/>
          </w:tcPr>
          <w:p>
            <w:pPr>
              <w:spacing w:after="0"/>
            </w:pPr>
            <w:r>
              <w:rPr>
                <w:sz w:val="19"/>
              </w:rPr>
              <w:t>[Not in scope, see section 8]</w:t>
            </w:r>
          </w:p>
        </w:tc>
      </w:tr>
    </w:tbl>
    <w:p>
      <w:pPr>
        <w:spacing w:after="40"/>
      </w:pPr>
    </w:p>
    <w:p>
      <w:r>
        <w:rPr/>
        <w:t>The retirement dates come from [PROVIDER]'s official deprecations page ([LINK]), checked on [DATE]. Providers sometimes move dates, so check again a month before the deadline.</w:t>
      </w:r>
    </w:p>
    <w:p>
      <w:pPr>
        <w:pStyle w:val="Heading1"/>
      </w:pPr>
      <w:r>
        <w:t>4. What we changed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"/>
        <w:gridCol w:w="1530"/>
        <w:gridCol w:w="1503"/>
        <w:gridCol w:w="5131"/>
      </w:tblGrid>
      <w:tr>
        <w:tc>
          <w:tcPr>
            <w:tcW w:type="dxa" w:w="1196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1530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Before</w:t>
            </w:r>
          </w:p>
        </w:tc>
        <w:tc>
          <w:tcPr>
            <w:tcW w:type="dxa" w:w="1503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After</w:t>
            </w:r>
          </w:p>
        </w:tc>
        <w:tc>
          <w:tcPr>
            <w:tcW w:type="dxa" w:w="5131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1196"/>
          </w:tcPr>
          <w:p>
            <w:pPr>
              <w:spacing w:after="0"/>
            </w:pPr>
            <w:r>
              <w:rPr>
                <w:sz w:val="19"/>
              </w:rPr>
              <w:t>[file]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[OLD MODEL]</w:t>
            </w:r>
          </w:p>
        </w:tc>
        <w:tc>
          <w:tcPr>
            <w:tcW w:type="dxa" w:w="1503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[NEW MODEL]</w:t>
            </w:r>
          </w:p>
        </w:tc>
        <w:tc>
          <w:tcPr>
            <w:tcW w:type="dxa" w:w="5131"/>
          </w:tcPr>
          <w:p>
            <w:pPr>
              <w:spacing w:after="0"/>
            </w:pPr>
            <w:r>
              <w:rPr>
                <w:sz w:val="19"/>
              </w:rPr>
              <w:t>The old model retires on [DATE]</w:t>
            </w:r>
          </w:p>
        </w:tc>
      </w:tr>
      <w:tr>
        <w:tc>
          <w:tcPr>
            <w:tcW w:type="dxa" w:w="1196"/>
          </w:tcPr>
          <w:p>
            <w:pPr>
              <w:spacing w:after="0"/>
            </w:pPr>
            <w:r>
              <w:rPr>
                <w:sz w:val="19"/>
              </w:rPr>
              <w:t>[file]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rPr>
                <w:sz w:val="19"/>
              </w:rPr>
              <w:t>[old setting]</w:t>
            </w:r>
          </w:p>
        </w:tc>
        <w:tc>
          <w:tcPr>
            <w:tcW w:type="dxa" w:w="1503"/>
          </w:tcPr>
          <w:p>
            <w:pPr>
              <w:spacing w:after="0"/>
            </w:pPr>
            <w:r>
              <w:rPr>
                <w:sz w:val="19"/>
              </w:rPr>
              <w:t>[new setting]</w:t>
            </w:r>
          </w:p>
        </w:tc>
        <w:tc>
          <w:tcPr>
            <w:tcW w:type="dxa" w:w="5131"/>
          </w:tcPr>
          <w:p>
            <w:pPr>
              <w:spacing w:after="0"/>
            </w:pPr>
            <w:r>
              <w:rPr>
                <w:sz w:val="19"/>
              </w:rPr>
              <w:t>[Example: the new model does not accept this setting]</w:t>
            </w:r>
          </w:p>
        </w:tc>
      </w:tr>
    </w:tbl>
    <w:p>
      <w:pPr>
        <w:spacing w:after="40"/>
      </w:pPr>
    </w:p>
    <w:p>
      <w:r>
        <w:rPr>
          <w:b/>
        </w:rPr>
        <w:t>Prompt changes:</w:t>
      </w:r>
      <w:r>
        <w:rPr/>
        <w:t xml:space="preserve"> [What changed and why. Example: the new model added greetings and bullet points, so the instructions now ask for plain sentences.]</w:t>
      </w:r>
    </w:p>
    <w:p>
      <w:r>
        <w:rPr>
          <w:b/>
        </w:rPr>
        <w:t>Settings changes:</w:t>
      </w:r>
      <w:r>
        <w:rPr/>
        <w:t xml:space="preserve"> [Example: removed top_p because the new model does not accept it together with temperature.]</w:t>
      </w:r>
    </w:p>
    <w:p>
      <w:pPr>
        <w:pStyle w:val="Heading1"/>
      </w:pPr>
      <w:r>
        <w:t>5. Test results</w:t>
      </w:r>
    </w:p>
    <w:p>
      <w:pPr>
        <w:pStyle w:val="ListBullet"/>
        <w:spacing w:after="60"/>
      </w:pPr>
      <w:r>
        <w:rPr>
          <w:b/>
        </w:rPr>
        <w:t>Test set:</w:t>
      </w:r>
      <w:r>
        <w:rPr/>
        <w:t xml:space="preserve"> [N] examples from [SOURCE, for example real tickets from last month], with names and personal details removed. You keep this test set for the next model change.</w:t>
      </w:r>
    </w:p>
    <w:p>
      <w:pPr>
        <w:pStyle w:val="ListBullet"/>
        <w:spacing w:after="60"/>
      </w:pPr>
      <w:r>
        <w:rPr>
          <w:b/>
        </w:rPr>
        <w:t>Method:</w:t>
      </w:r>
      <w:r>
        <w:rPr/>
        <w:t xml:space="preserve"> each example went through the old setup and the new setup with the same input. [NAME, ROLE] read every pair and graded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64"/>
        <w:gridCol w:w="2096"/>
      </w:tblGrid>
      <w:tr>
        <w:tc>
          <w:tcPr>
            <w:tcW w:type="dxa" w:w="7264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Result</w:t>
            </w:r>
          </w:p>
        </w:tc>
        <w:tc>
          <w:tcPr>
            <w:tcW w:type="dxa" w:w="2096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Count</w:t>
            </w:r>
          </w:p>
        </w:tc>
      </w:tr>
      <w:tr>
        <w:tc>
          <w:tcPr>
            <w:tcW w:type="dxa" w:w="7264"/>
          </w:tcPr>
          <w:p>
            <w:pPr>
              <w:spacing w:after="0"/>
            </w:pPr>
            <w:r>
              <w:rPr>
                <w:sz w:val="19"/>
              </w:rPr>
              <w:t>New answer better</w:t>
            </w:r>
          </w:p>
        </w:tc>
        <w:tc>
          <w:tcPr>
            <w:tcW w:type="dxa" w:w="2096"/>
          </w:tcPr>
          <w:p>
            <w:pPr>
              <w:spacing w:after="0"/>
            </w:pPr>
            <w:r>
              <w:rPr>
                <w:sz w:val="19"/>
              </w:rPr>
              <w:t>[N]</w:t>
            </w:r>
          </w:p>
        </w:tc>
      </w:tr>
      <w:tr>
        <w:tc>
          <w:tcPr>
            <w:tcW w:type="dxa" w:w="7264"/>
          </w:tcPr>
          <w:p>
            <w:pPr>
              <w:spacing w:after="0"/>
            </w:pPr>
            <w:r>
              <w:rPr>
                <w:sz w:val="19"/>
              </w:rPr>
              <w:t>About the same</w:t>
            </w:r>
          </w:p>
        </w:tc>
        <w:tc>
          <w:tcPr>
            <w:tcW w:type="dxa" w:w="2096"/>
          </w:tcPr>
          <w:p>
            <w:pPr>
              <w:spacing w:after="0"/>
            </w:pPr>
            <w:r>
              <w:rPr>
                <w:sz w:val="19"/>
              </w:rPr>
              <w:t>[N]</w:t>
            </w:r>
          </w:p>
        </w:tc>
      </w:tr>
      <w:tr>
        <w:tc>
          <w:tcPr>
            <w:tcW w:type="dxa" w:w="7264"/>
          </w:tcPr>
          <w:p>
            <w:pPr>
              <w:spacing w:after="0"/>
            </w:pPr>
            <w:r>
              <w:rPr>
                <w:sz w:val="19"/>
              </w:rPr>
              <w:t>Old answer better, new still acceptable</w:t>
            </w:r>
          </w:p>
        </w:tc>
        <w:tc>
          <w:tcPr>
            <w:tcW w:type="dxa" w:w="2096"/>
          </w:tcPr>
          <w:p>
            <w:pPr>
              <w:spacing w:after="0"/>
            </w:pPr>
            <w:r>
              <w:rPr>
                <w:sz w:val="19"/>
              </w:rPr>
              <w:t>[N]</w:t>
            </w:r>
          </w:p>
        </w:tc>
      </w:tr>
      <w:tr>
        <w:tc>
          <w:tcPr>
            <w:tcW w:type="dxa" w:w="7264"/>
          </w:tcPr>
          <w:p>
            <w:pPr>
              <w:spacing w:after="0"/>
            </w:pPr>
            <w:r>
              <w:rPr>
                <w:sz w:val="19"/>
              </w:rPr>
              <w:t>New answer not acceptable</w:t>
            </w:r>
          </w:p>
        </w:tc>
        <w:tc>
          <w:tcPr>
            <w:tcW w:type="dxa" w:w="2096"/>
          </w:tcPr>
          <w:p>
            <w:pPr>
              <w:spacing w:after="0"/>
            </w:pPr>
            <w:r>
              <w:rPr>
                <w:sz w:val="19"/>
              </w:rPr>
              <w:t>[N]</w:t>
            </w:r>
          </w:p>
        </w:tc>
      </w:tr>
    </w:tbl>
    <w:p>
      <w:pPr>
        <w:spacing w:after="40"/>
      </w:pPr>
    </w:p>
    <w:p>
      <w:r>
        <w:rPr>
          <w:b/>
        </w:rPr>
        <w:t>What we noticed:</w:t>
      </w:r>
    </w:p>
    <w:p>
      <w:pPr>
        <w:pStyle w:val="ListBullet"/>
        <w:spacing w:after="60"/>
      </w:pPr>
      <w:r>
        <w:rPr/>
        <w:t>[Example: new answers are 15% shorter and always include the order number.]</w:t>
      </w:r>
    </w:p>
    <w:p>
      <w:pPr>
        <w:pStyle w:val="ListBullet"/>
        <w:spacing w:after="60"/>
      </w:pPr>
      <w:r>
        <w:rPr/>
        <w:t>[Example: in one case the new answer left out a date. We judged it still acceptable.]</w:t>
      </w:r>
    </w:p>
    <w:p>
      <w:r>
        <w:rPr/>
        <w:t xml:space="preserve">The full side-by-side results are in </w:t>
      </w:r>
      <w:r>
        <w:rPr>
          <w:rFonts w:ascii="Consolas" w:hAnsi="Consolas"/>
          <w:sz w:val="19"/>
        </w:rPr>
        <w:t>comparison.xlsx</w:t>
      </w:r>
      <w:r>
        <w:rPr/>
        <w:t>.</w:t>
      </w:r>
    </w:p>
    <w:p>
      <w:pPr>
        <w:pStyle w:val="Heading1"/>
      </w:pPr>
      <w:r>
        <w:t>6. Cost and speed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3"/>
        <w:gridCol w:w="1661"/>
        <w:gridCol w:w="1661"/>
        <w:gridCol w:w="1495"/>
      </w:tblGrid>
      <w:tr>
        <w:tc>
          <w:tcPr>
            <w:tcW w:type="dxa" w:w="4543"/>
            <w:shd w:val="clear" w:color="auto" w:fill="DDEBF7"/>
          </w:tcPr>
          <w:p>
            <w:pPr>
              <w:spacing w:after="0"/>
            </w:pPr>
          </w:p>
        </w:tc>
        <w:tc>
          <w:tcPr>
            <w:tcW w:type="dxa" w:w="1661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Before</w:t>
            </w:r>
          </w:p>
        </w:tc>
        <w:tc>
          <w:tcPr>
            <w:tcW w:type="dxa" w:w="1661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After</w:t>
            </w:r>
          </w:p>
        </w:tc>
        <w:tc>
          <w:tcPr>
            <w:tcW w:type="dxa" w:w="1495"/>
            <w:shd w:val="clear" w:color="auto" w:fill="DDEBF7"/>
          </w:tcPr>
          <w:p>
            <w:pPr>
              <w:spacing w:after="0"/>
            </w:pPr>
            <w:r>
              <w:rPr>
                <w:b/>
                <w:sz w:val="19"/>
              </w:rPr>
              <w:t>Change</w:t>
            </w:r>
          </w:p>
        </w:tc>
      </w:tr>
      <w:tr>
        <w:tc>
          <w:tcPr>
            <w:tcW w:type="dxa" w:w="4543"/>
          </w:tcPr>
          <w:p>
            <w:pPr>
              <w:spacing w:after="0"/>
            </w:pPr>
            <w:r>
              <w:rPr>
                <w:sz w:val="19"/>
              </w:rPr>
              <w:t>Typical response time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[X.X s]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[Y.Y s]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sz w:val="19"/>
              </w:rPr>
              <w:t>[-Z%]</w:t>
            </w:r>
          </w:p>
        </w:tc>
      </w:tr>
      <w:tr>
        <w:tc>
          <w:tcPr>
            <w:tcW w:type="dxa" w:w="4543"/>
          </w:tcPr>
          <w:p>
            <w:pPr>
              <w:spacing w:after="0"/>
            </w:pPr>
            <w:r>
              <w:rPr>
                <w:sz w:val="19"/>
              </w:rPr>
              <w:t>Tokens per request (input / output)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[X / Y]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[X / Y]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sz w:val="19"/>
              </w:rPr>
              <w:t>[+Z% / -Z%]</w:t>
            </w:r>
          </w:p>
        </w:tc>
      </w:tr>
      <w:tr>
        <w:tc>
          <w:tcPr>
            <w:tcW w:type="dxa" w:w="4543"/>
          </w:tcPr>
          <w:p>
            <w:pPr>
              <w:spacing w:after="0"/>
            </w:pPr>
            <w:r>
              <w:rPr>
                <w:sz w:val="19"/>
              </w:rPr>
              <w:t>Estimated cost per 1,000 requests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[$X.XX]</w:t>
            </w:r>
          </w:p>
        </w:tc>
        <w:tc>
          <w:tcPr>
            <w:tcW w:type="dxa" w:w="1661"/>
          </w:tcPr>
          <w:p>
            <w:pPr>
              <w:spacing w:after="0"/>
            </w:pPr>
            <w:r>
              <w:rPr>
                <w:sz w:val="19"/>
              </w:rPr>
              <w:t>[$Y.YY]</w:t>
            </w:r>
          </w:p>
        </w:tc>
        <w:tc>
          <w:tcPr>
            <w:tcW w:type="dxa" w:w="1495"/>
          </w:tcPr>
          <w:p>
            <w:pPr>
              <w:spacing w:after="0"/>
            </w:pPr>
            <w:r>
              <w:rPr>
                <w:sz w:val="19"/>
              </w:rPr>
              <w:t>[-Z%]</w:t>
            </w:r>
          </w:p>
        </w:tc>
      </w:tr>
    </w:tbl>
    <w:p>
      <w:pPr>
        <w:spacing w:after="40"/>
      </w:pPr>
    </w:p>
    <w:p>
      <w:r>
        <w:rPr/>
        <w:t>[One or two sentences on the monthly bill. Example: at about [N] requests a month, this is roughly $[X] a month, [up/down] from $[Y].] Prices come from [PROVIDER]'s pricing page on [DATE]. Newer models can count tokens differently, so compare the real bill after release.</w:t>
      </w:r>
    </w:p>
    <w:p>
      <w:pPr>
        <w:pStyle w:val="Heading1"/>
      </w:pPr>
      <w:r>
        <w:t>7. Release and rollback</w:t>
      </w:r>
    </w:p>
    <w:p>
      <w:pPr>
        <w:tabs>
          <w:tab w:pos="360" w:val="left"/>
        </w:tabs>
        <w:spacing w:after="60"/>
        <w:ind w:left="360" w:hanging="360"/>
      </w:pPr>
      <w:r>
        <w:rPr/>
        <w:t>1.</w:t>
        <w:tab/>
      </w:r>
      <w:r>
        <w:rPr/>
        <w:t>Review and merge [PULL REQUEST OR BRANCH] into [MAIN BRANCH].</w:t>
      </w:r>
    </w:p>
    <w:p>
      <w:pPr>
        <w:tabs>
          <w:tab w:pos="360" w:val="left"/>
        </w:tabs>
        <w:spacing w:after="60"/>
        <w:ind w:left="360" w:hanging="360"/>
      </w:pPr>
      <w:r>
        <w:rPr/>
        <w:t>2.</w:t>
        <w:tab/>
      </w:r>
      <w:r>
        <w:rPr/>
        <w:t>Deploy to staging and try [3-5] real requests in each changed feature.</w:t>
      </w:r>
    </w:p>
    <w:p>
      <w:pPr>
        <w:tabs>
          <w:tab w:pos="360" w:val="left"/>
        </w:tabs>
        <w:spacing w:after="60"/>
        <w:ind w:left="360" w:hanging="360"/>
      </w:pPr>
      <w:r>
        <w:rPr/>
        <w:t>3.</w:t>
        <w:tab/>
      </w:r>
      <w:r>
        <w:rPr/>
        <w:t>Release to production at a quiet time.</w:t>
      </w:r>
    </w:p>
    <w:p>
      <w:pPr>
        <w:tabs>
          <w:tab w:pos="360" w:val="left"/>
        </w:tabs>
        <w:spacing w:after="60"/>
        <w:ind w:left="360" w:hanging="360"/>
      </w:pPr>
      <w:r>
        <w:rPr/>
        <w:t>4.</w:t>
        <w:tab/>
      </w:r>
      <w:r>
        <w:rPr/>
        <w:t>Watch [error logs, customer complaints, agent feedback] for [7] days.</w:t>
      </w:r>
    </w:p>
    <w:p>
      <w:pPr>
        <w:tabs>
          <w:tab w:pos="360" w:val="left"/>
        </w:tabs>
        <w:spacing w:after="60"/>
        <w:ind w:left="360" w:hanging="360"/>
      </w:pPr>
      <w:r>
        <w:rPr/>
        <w:t>5.</w:t>
        <w:tab/>
      </w:r>
      <w:r>
        <w:rPr>
          <w:b/>
        </w:rPr>
        <w:t>Rollback:</w:t>
      </w:r>
      <w:r>
        <w:rPr/>
        <w:t xml:space="preserve"> [revert the merge, or set the model setting back to OLD MODEL]. This only works until [RETIREMENT DATE]. After that, the old model no longer answers.</w:t>
      </w:r>
    </w:p>
    <w:p>
      <w:pPr>
        <w:pStyle w:val="Heading1"/>
      </w:pPr>
      <w:r>
        <w:t>8. Risks and recommendations</w:t>
      </w:r>
    </w:p>
    <w:p>
      <w:pPr>
        <w:pStyle w:val="ListBullet"/>
        <w:spacing w:after="60"/>
      </w:pPr>
      <w:r>
        <w:rPr/>
        <w:t>[Other models that retire later. Example: the ticket classifier uses [MODEL], which retires on [DATE]. It can be moved the same way.]</w:t>
      </w:r>
    </w:p>
    <w:p>
      <w:pPr>
        <w:pStyle w:val="ListBullet"/>
        <w:spacing w:after="60"/>
      </w:pPr>
      <w:r>
        <w:rPr/>
        <w:t>[Embeddings: a new embedding model means re-processing every stored document. Plan it as its own project.]</w:t>
      </w:r>
    </w:p>
    <w:p>
      <w:pPr>
        <w:pStyle w:val="ListBullet"/>
        <w:spacing w:after="60"/>
      </w:pPr>
      <w:r>
        <w:rPr/>
        <w:t>[Put a reminder in the calendar 90 days before the next retirement date. The scan and the test set can be re-run each time.]</w:t>
      </w:r>
    </w:p>
    <w:p>
      <w:pPr>
        <w:pStyle w:val="ListBullet"/>
        <w:spacing w:after="60"/>
      </w:pPr>
      <w:r>
        <w:rPr/>
        <w:t>[Anything you could not test, and why.]</w:t>
      </w:r>
    </w:p>
    <w:p>
      <w:pPr>
        <w:pStyle w:val="Heading1"/>
      </w:pPr>
      <w:r>
        <w:t>9. Handover</w:t>
      </w:r>
    </w:p>
    <w:p>
      <w:pPr>
        <w:pStyle w:val="ListBullet"/>
        <w:spacing w:after="60"/>
      </w:pPr>
      <w:r>
        <w:rPr>
          <w:b/>
        </w:rPr>
        <w:t>Code changes:</w:t>
      </w:r>
      <w:r>
        <w:rPr/>
        <w:t xml:space="preserve"> [PULL REQUEST LINK OR BRANCH]</w:t>
      </w:r>
    </w:p>
    <w:p>
      <w:pPr>
        <w:pStyle w:val="ListBullet"/>
        <w:spacing w:after="60"/>
      </w:pPr>
      <w:r>
        <w:rPr>
          <w:b/>
        </w:rPr>
        <w:t>Test set:</w:t>
      </w:r>
      <w:r>
        <w:rPr/>
        <w:t xml:space="preserve"> </w:t>
      </w:r>
      <w:r>
        <w:rPr>
          <w:rFonts w:ascii="Consolas" w:hAnsi="Consolas"/>
          <w:sz w:val="19"/>
        </w:rPr>
        <w:t>[PATH]</w:t>
      </w:r>
      <w:r>
        <w:rPr/>
        <w:t>, [N] examples. Re-use it for the next model change.</w:t>
      </w:r>
    </w:p>
    <w:p>
      <w:pPr>
        <w:pStyle w:val="ListBullet"/>
        <w:spacing w:after="60"/>
      </w:pPr>
      <w:r>
        <w:rPr>
          <w:b/>
        </w:rPr>
        <w:t>How to re-run the comparison:</w:t>
      </w:r>
      <w:r>
        <w:rPr/>
        <w:t xml:space="preserve"> </w:t>
      </w:r>
      <w:r>
        <w:rPr>
          <w:rFonts w:ascii="Consolas" w:hAnsi="Consolas"/>
          <w:sz w:val="19"/>
        </w:rPr>
        <w:t>[COMMAND]</w:t>
      </w:r>
    </w:p>
    <w:p>
      <w:pPr>
        <w:pStyle w:val="ListBullet"/>
        <w:spacing w:after="60"/>
      </w:pPr>
      <w:r>
        <w:rPr>
          <w:b/>
        </w:rPr>
        <w:t>Full scan of model references:</w:t>
      </w:r>
      <w:r>
        <w:rPr/>
        <w:t xml:space="preserve"> </w:t>
      </w:r>
      <w:r>
        <w:rPr>
          <w:rFonts w:ascii="Consolas" w:hAnsi="Consolas"/>
          <w:sz w:val="19"/>
        </w:rPr>
        <w:t>model_scan.md</w:t>
      </w:r>
      <w:r>
        <w:rPr/>
        <w:t xml:space="preserve"> (attached)</w:t>
      </w:r>
    </w:p>
    <w:p>
      <w:pPr>
        <w:pStyle w:val="ListBullet"/>
        <w:spacing w:after="60"/>
      </w:pPr>
      <w:r>
        <w:rPr>
          <w:b/>
        </w:rPr>
        <w:t>Questions:</w:t>
      </w:r>
      <w:r>
        <w:rPr/>
        <w:t xml:space="preserve"> [YOUR NAME], [YOUR EMAIL]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Prepared for [CLIENT NAME]  ·  </w:t>
    </w:r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model update report: [FEATURE OR APP NAME]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