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Encryption and Key Management Standard</w:t>
      </w:r>
    </w:p>
    <w:p>
      <w:r>
        <w:rPr>
          <w:i/>
        </w:rPr>
        <w:t>FICTIONAL SAMPLE. Quarterhour, Inc. is a made-up company used to demonstrate this kit. Any resemblance to a real company is coincidental.</w:t>
      </w:r>
    </w:p>
    <w:tbl>
      <w:tblPr>
        <w:tblStyle w:val="TableGrid"/>
        <w:tblW w:type="auto" w:w="0"/>
        <w:tblLook w:firstColumn="1" w:firstRow="1" w:lastColumn="0" w:lastRow="0" w:noHBand="0" w:noVBand="1" w:val="04A0"/>
      </w:tblPr>
      <w:tblGrid>
        <w:gridCol w:w="4320"/>
        <w:gridCol w:w="4320"/>
      </w:tblGrid>
      <w:tr>
        <w:tc>
          <w:tcPr>
            <w:tcW w:type="dxa" w:w="4320"/>
          </w:tcPr>
          <w:p>
            <w:r>
              <w:t>Document ID</w:t>
            </w:r>
          </w:p>
        </w:tc>
        <w:tc>
          <w:tcPr>
            <w:tcW w:type="dxa" w:w="4320"/>
          </w:tcPr>
          <w:p>
            <w:r>
              <w:t>QH-STD-03</w:t>
            </w:r>
          </w:p>
        </w:tc>
      </w:tr>
      <w:tr>
        <w:tc>
          <w:tcPr>
            <w:tcW w:type="dxa" w:w="4320"/>
          </w:tcPr>
          <w:p>
            <w:r>
              <w:t>Version</w:t>
            </w:r>
          </w:p>
        </w:tc>
        <w:tc>
          <w:tcPr>
            <w:tcW w:type="dxa" w:w="4320"/>
          </w:tcPr>
          <w:p>
            <w:r>
              <w:t>1.1</w:t>
            </w:r>
          </w:p>
        </w:tc>
      </w:tr>
      <w:tr>
        <w:tc>
          <w:tcPr>
            <w:tcW w:type="dxa" w:w="4320"/>
          </w:tcPr>
          <w:p>
            <w:r>
              <w:t>Owner</w:t>
            </w:r>
          </w:p>
        </w:tc>
        <w:tc>
          <w:tcPr>
            <w:tcW w:type="dxa" w:w="4320"/>
          </w:tcPr>
          <w:p>
            <w:r>
              <w:t>Dana Whitfield, CTO</w:t>
            </w:r>
          </w:p>
        </w:tc>
      </w:tr>
      <w:tr>
        <w:tc>
          <w:tcPr>
            <w:tcW w:type="dxa" w:w="4320"/>
          </w:tcPr>
          <w:p>
            <w:r>
              <w:t>Approved by</w:t>
            </w:r>
          </w:p>
        </w:tc>
        <w:tc>
          <w:tcPr>
            <w:tcW w:type="dxa" w:w="4320"/>
          </w:tcPr>
          <w:p>
            <w:r>
              <w:t>Maya Okafor, CEO</w:t>
            </w:r>
          </w:p>
        </w:tc>
      </w:tr>
      <w:tr>
        <w:tc>
          <w:tcPr>
            <w:tcW w:type="dxa" w:w="4320"/>
          </w:tcPr>
          <w:p>
            <w:r>
              <w:t>Last reviewed</w:t>
            </w:r>
          </w:p>
        </w:tc>
        <w:tc>
          <w:tcPr>
            <w:tcW w:type="dxa" w:w="4320"/>
          </w:tcPr>
          <w:p>
            <w:r>
              <w:t>11 July 2026</w:t>
            </w:r>
          </w:p>
        </w:tc>
      </w:tr>
      <w:tr>
        <w:tc>
          <w:tcPr>
            <w:tcW w:type="dxa" w:w="4320"/>
          </w:tcPr>
          <w:p>
            <w:r>
              <w:t>Review cycle</w:t>
            </w:r>
          </w:p>
        </w:tc>
        <w:tc>
          <w:tcPr>
            <w:tcW w:type="dxa" w:w="4320"/>
          </w:tcPr>
          <w:p>
            <w:r>
              <w:t>At least annually</w:t>
            </w:r>
          </w:p>
        </w:tc>
      </w:tr>
    </w:tbl>
    <w:p>
      <w:pPr>
        <w:pStyle w:val="Heading1"/>
      </w:pPr>
      <w:r>
        <w:t>1. Purpose</w:t>
      </w:r>
    </w:p>
    <w:p>
      <w:r>
        <w:t>This standard sets the minimum encryption requirements for Quarterhour systems and data.</w:t>
      </w:r>
    </w:p>
    <w:p>
      <w:pPr>
        <w:pStyle w:val="Heading1"/>
      </w:pPr>
      <w:r>
        <w:t>2. Data at rest</w:t>
      </w:r>
    </w:p>
    <w:p>
      <w:r>
        <w:t>Customer data stored in Amazon RDS, Amazon S3 and EBS volumes is encrypted at rest with AES-256 using AWS Key Management Service (KMS). Encryption is on by default for new storage, and a configuration check raises an alert if unencrypted storage is created.</w:t>
      </w:r>
    </w:p>
    <w:p>
      <w:r>
        <w:t>Calendar connection tokens (OAuth tokens) are also encrypted at the application level before they are stored.</w:t>
      </w:r>
    </w:p>
    <w:p>
      <w:pPr>
        <w:pStyle w:val="Heading1"/>
      </w:pPr>
      <w:r>
        <w:t>3. Data in transit</w:t>
      </w:r>
    </w:p>
    <w:p>
      <w:r>
        <w:t>All public endpoints accept only HTTPS connections using TLS 1.2 or higher. HTTP requests are redirected to HTTPS and HSTS is enabled. Traffic between internal services and to the database also uses TLS.</w:t>
      </w:r>
    </w:p>
    <w:p>
      <w:pPr>
        <w:pStyle w:val="Heading1"/>
      </w:pPr>
      <w:r>
        <w:t>4. Key management</w:t>
      </w:r>
    </w:p>
    <w:p>
      <w:r>
        <w:t>Encryption keys are customer managed keys in AWS KMS. Automatic annual key rotation is enabled. IAM policies restrict the use of each key to the services and administrators that need it, and every use of a key is logged in AWS CloudTrail. Key material never leaves KMS.</w:t>
      </w:r>
    </w:p>
    <w:p>
      <w:pPr>
        <w:pStyle w:val="Heading1"/>
      </w:pPr>
      <w:r>
        <w:t>5. Application secrets</w:t>
      </w:r>
    </w:p>
    <w:p>
      <w:r>
        <w:t>API keys, database passwords and other secrets are stored in AWS Secrets Manager. Secrets must never be committed to source code. Secret scanning is turned on for all code repositories.</w:t>
      </w:r>
    </w:p>
    <w:p>
      <w:pPr>
        <w:pStyle w:val="Heading1"/>
      </w:pPr>
      <w:r>
        <w:t>6. Laptops</w:t>
      </w:r>
    </w:p>
    <w:p>
      <w:r>
        <w:t>Company laptops must have full-disk encryption (FileVault) turned on. This is checked through the company's device management (MDM) tool.</w:t>
      </w:r>
    </w:p>
    <w:p>
      <w:pPr>
        <w:pStyle w:val="Heading1"/>
      </w:pPr>
      <w:r>
        <w:t>7. Exceptions</w:t>
      </w:r>
    </w:p>
    <w:p>
      <w:r>
        <w:t>Any exception to this standard needs written approval from the CTO and is recorded with an expiry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Encryption and Key Management Standard</dc:title>
  <dc:subject/>
  <dc:creator>Quarterhour, Inc. (fictional)</dc:creator>
  <cp:keywords/>
  <dc:description>generated by python-docx</dc:description>
  <cp:lastModifiedBy/>
  <cp:revision>1</cp:revision>
  <dcterms:created xsi:type="dcterms:W3CDTF">2013-12-23T23:15:00Z</dcterms:created>
  <dcterms:modified xsi:type="dcterms:W3CDTF">2013-12-23T23:15:00Z</dcterms:modified>
  <cp:category/>
</cp:coreProperties>
</file>