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C3557"/>
          <w:sz w:val="42"/>
          <w:szCs w:val="42"/>
        </w:rPr>
        <w:t xml:space="preserve">STEPHANIE AU</w:t>
      </w:r>
    </w:p>
    <w:p>
      <w:pPr>
        <w:pBdr>
          <w:bottom w:val="single" w:color="2E74B5" w:sz="8" w:space="6"/>
        </w:pBd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(852) 6207 3000  |  stepauzi@ymail.com  |  linkedin.com/in/stephanie-au-96a793197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PROFESSIONAL SUMMARY</w:t>
      </w:r>
    </w:p>
    <w:p>
      <w:pPr>
        <w:spacing w:after="6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Experienced Operations and Admissions Professional with 7+ years in education administration, programme management, and customer service. Proven ability to manage end-to-end student enrollment processes, lead administrative teams, and implement workflow automation using Zapier, Asana, and AI platforms. Hands-on experience delivering government-funded training programmes, supporting international education environments, and managing multi-level stakeholder relationships. Holds a BA (Hons) in Business Studies (HRM) alongside certifications in business analysis and data management.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CORE COMPETENCIES</w:t>
      </w:r>
    </w:p>
    <w:tbl>
      <w:tblPr>
        <w:tblW w:type="dxa" w:w="90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75"/>
        <w:gridCol w:w="2975"/>
        <w:gridCol w:w="3056"/>
      </w:tblGrid>
      <w:tr>
        <w:tc>
          <w:tcPr>
            <w:tcW w:type="dxa" w:w="2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Operations &amp; Administration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admissions &amp; enrollment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Programme coordination &amp;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 leadership &amp; staff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optimisation &amp; SOP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Government-funded programme compliance</w:t>
            </w:r>
          </w:p>
        </w:tc>
        <w:tc>
          <w:tcPr>
            <w:tcW w:type="dxa" w:w="2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Technology &amp;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Zapier, Asana, Sleekflow,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(Pivot Tables, VLOOKUP), Google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tools: ChatGPT, Canva, Notion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LMS, Schooltracs, TypeForm,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fundamentals &amp; data reporting</w:t>
            </w:r>
          </w:p>
        </w:tc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C3557"/>
                <w:sz w:val="19"/>
                <w:szCs w:val="19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Cantonese (Native)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 (Fluent)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Mandarin (Proficient)</w:t>
            </w:r>
          </w:p>
        </w:tc>
      </w:tr>
    </w:tbl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5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Admission &amp; Operation Executive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Venturenix LAB Limited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Nov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Managed end-to-end student admissions cycle from initial enquiry to onboarding, maintaining high enrollment rates through structured follow-up and personalised student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Led student engagement and retention initiatives, monitoring satisfaction and implementing improvements to strengthen student outcomes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Built automated administrative workflows using Zapier, Asana, and Sleekflow, significantly reducing manual workload and operational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Analysed enrollment and operational data via Google Sheets to surface trends and deliver actionable insights to management</w:t>
      </w:r>
    </w:p>
    <w:p>
      <w:pPr>
        <w:tabs>
          <w:tab w:val="right" w:pos="9026"/>
        </w:tabs>
        <w:spacing w:after="5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Course Admin &amp; Customer Service Executive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Smark Global (Holdings) Limited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Aug 2023 – Jun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Spearheaded operational delivery of NITTP government-funded programmes, ensuring regulatory compliance, on-time milestone completion, and full funding utilisation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Managed complete programme lifecycle from curriculum setup to classroom execution, coordinating trainers, venues, scheduling, and compliance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Designed Excel automation for reporting workflows, reducing preparation time and improving accuracy for senior management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Produced programme performance analyses and management reports to support strategic planning and funding body requirements</w:t>
      </w:r>
    </w:p>
    <w:p>
      <w:pPr>
        <w:tabs>
          <w:tab w:val="right" w:pos="9026"/>
        </w:tabs>
        <w:spacing w:after="5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Operations Officer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Edge Franchising Co. Limited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Dec 2020 – Aug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Oversaw daily operations across three business units (Academic Tutoring, Test Prep, Admissions Consulting) at a multi-floor education centre, coordinating cross-functional teams and resources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Managed front-of-house, staff scheduling, and consultation coordination to ensure seamless class and advisory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Tracked and reported operational KPIs to drive data-informed decision-making and continuous improvement in student experience</w:t>
      </w:r>
    </w:p>
    <w:p>
      <w:pPr>
        <w:tabs>
          <w:tab w:val="right" w:pos="9026"/>
        </w:tabs>
        <w:spacing w:after="5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Service Executive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2E74B5"/>
          <w:sz w:val="20"/>
          <w:szCs w:val="20"/>
        </w:rPr>
        <w:t xml:space="preserve">Sogo Hong Kong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Jan 2020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Managed concierge and call centre operations, overseeing multi-channel handling of customer enquiries, requests, and escalations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Served as liaison between customers and 50+ brand partners, resolving complex issues and maintaining consistent service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Delivered onboarding training for new team members, ensuring service quality and brand consistency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EARLIER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May 2019 – Dec 2019  </w:t>
      </w:r>
      <w:r>
        <w:rPr>
          <w:rFonts w:ascii="Calibri" w:cs="Calibri" w:eastAsia="Calibri" w:hAnsi="Calibri"/>
          <w:sz w:val="19"/>
          <w:szCs w:val="19"/>
        </w:rPr>
        <w:t xml:space="preserve">Customer Support Executive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Chrono24 Asia-Pacific Limited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Nov 2010 – Nov 2013  </w:t>
      </w:r>
      <w:r>
        <w:rPr>
          <w:rFonts w:ascii="Calibri" w:cs="Calibri" w:eastAsia="Calibri" w:hAnsi="Calibri"/>
          <w:sz w:val="19"/>
          <w:szCs w:val="19"/>
        </w:rPr>
        <w:t xml:space="preserve">Supervisor, CS Ambassador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Premium Motors Limited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2006 – 2019  </w:t>
      </w:r>
      <w:r>
        <w:rPr>
          <w:rFonts w:ascii="Calibri" w:cs="Calibri" w:eastAsia="Calibri" w:hAnsi="Calibri"/>
          <w:sz w:val="19"/>
          <w:szCs w:val="19"/>
        </w:rPr>
        <w:t xml:space="preserve">Earlier roles: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Guest Relation Officer (The Murray HK), AIG Finance, Ocean Park HK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Arts (Hons) – Business Studies (Human Resource Management)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Sep 2023 – Oct 2024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University of Greenwich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Professional Diploma in Human Resource Management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Jun 2022 – May 2023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The Hong Kong Management Association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Java Enterprise System Development and Data Engineering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	Aug 2025 – Nov 2025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Venturenix LAB Limited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CERTIFICATIONS &amp; PROFESSIONAL DEVELOPMENT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Jan 2026  </w:t>
      </w:r>
      <w:r>
        <w:rPr>
          <w:rFonts w:ascii="Calibri" w:cs="Calibri" w:eastAsia="Calibri" w:hAnsi="Calibri"/>
          <w:sz w:val="19"/>
          <w:szCs w:val="19"/>
        </w:rPr>
        <w:t xml:space="preserve">Data for Business Analysts Using Microsoft Excel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Microsoft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Dec 2025  </w:t>
      </w:r>
      <w:r>
        <w:rPr>
          <w:rFonts w:ascii="Calibri" w:cs="Calibri" w:eastAsia="Calibri" w:hAnsi="Calibri"/>
          <w:sz w:val="19"/>
          <w:szCs w:val="19"/>
        </w:rPr>
        <w:t xml:space="preserve">Business Analysis Fundamentals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Microsoft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Jun 2025  </w:t>
      </w:r>
      <w:r>
        <w:rPr>
          <w:rFonts w:ascii="Calibri" w:cs="Calibri" w:eastAsia="Calibri" w:hAnsi="Calibri"/>
          <w:sz w:val="19"/>
          <w:szCs w:val="19"/>
        </w:rPr>
        <w:t xml:space="preserve">Artificial Intelligence and The Rule of Law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UNESCO &amp; National Judicial College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Jun 2025  </w:t>
      </w:r>
      <w:r>
        <w:rPr>
          <w:rFonts w:ascii="Calibri" w:cs="Calibri" w:eastAsia="Calibri" w:hAnsi="Calibri"/>
          <w:sz w:val="19"/>
          <w:szCs w:val="19"/>
        </w:rPr>
        <w:t xml:space="preserve">IIQE Paper I &amp; III (Principles of Insurance / Long Term Insurance)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Vocational Training Council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Aug 2024  </w:t>
      </w:r>
      <w:r>
        <w:rPr>
          <w:rFonts w:ascii="Calibri" w:cs="Calibri" w:eastAsia="Calibri" w:hAnsi="Calibri"/>
          <w:sz w:val="19"/>
          <w:szCs w:val="19"/>
        </w:rPr>
        <w:t xml:space="preserve">ESG and Carbon Data Management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TED Education Center &amp; SGS Hong Kong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Jun 2021  </w:t>
      </w:r>
      <w:r>
        <w:rPr>
          <w:rFonts w:ascii="Calibri" w:cs="Calibri" w:eastAsia="Calibri" w:hAnsi="Calibri"/>
          <w:sz w:val="19"/>
          <w:szCs w:val="19"/>
        </w:rPr>
        <w:t xml:space="preserve">Project Management &amp; Data Analysis Using Excel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·  Feva Works IT Education Centre</w:t>
      </w:r>
    </w:p>
    <w:p>
      <w:pPr>
        <w:pBdr>
          <w:bottom w:val="single" w:color="2E74B5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C3557"/>
          <w:sz w:val="22"/>
          <w:szCs w:val="22"/>
        </w:rPr>
        <w:t xml:space="preserve">SALARY EXPECTATION &amp; AVAILABILITY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HK$30,000 – HK$34,000 × 13 months  |  Notice Period: 1 month</w:t>
      </w:r>
    </w:p>
    <w:sectPr>
      <w:pgSz w:w="11906" w:h="16838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2026-06-29T13:43:49.480Z</dcterms:created>
  <dcterms:modified xsi:type="dcterms:W3CDTF">2026-06-29T13:43:49.480Z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