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C3557"/>
          <w:sz w:val="32"/>
        </w:rPr>
        <w:t>STEPHANIE AU</w:t>
      </w:r>
    </w:p>
    <w:p>
      <w:pPr>
        <w:spacing w:before="0" w:after="40"/>
        <w:jc w:val="center"/>
      </w:pPr>
      <w:r>
        <w:rPr>
          <w:color w:val="444444"/>
          <w:sz w:val="18"/>
        </w:rPr>
        <w:t>(852) 6207 3000  |  stepauzi@ymail.com  |  linkedin.com/in/stephanie-au-96a793197</w:t>
      </w:r>
    </w:p>
    <w:p>
      <w:pPr>
        <w:spacing w:before="40" w:after="40"/>
        <w:pBdr>
          <w:bottom w:val="single" w:sz="6" w:space="1" w:color="1C3557"/>
        </w:pBdr>
      </w:pPr>
    </w:p>
    <w:p>
      <w:pPr>
        <w:spacing w:before="180" w:after="80"/>
        <w:pBdr>
          <w:bottom w:val="single" w:sz="6" w:space="1" w:color="1C3557"/>
        </w:pBdr>
        <w:keepNext/>
      </w:pPr>
      <w:r>
        <w:rPr>
          <w:b/>
          <w:color w:val="1C3557"/>
          <w:sz w:val="21"/>
        </w:rPr>
        <w:t>PROFESSIONAL SUMMARY</w:t>
      </w:r>
    </w:p>
    <w:p>
      <w:pPr>
        <w:spacing w:before="0" w:after="0"/>
      </w:pPr>
      <w:r>
        <w:rPr>
          <w:sz w:val="20"/>
        </w:rPr>
        <w:t>Detail-oriented operations and administration professional with over 8 years of experience in educational settings, including student admissions, records management, and program coordination. Proven track record of streamlining workflows through automation tools such as Zapier, Asana, and Excel, reducing reporting time and improving operational efficiency. Skilled in handling high-volume enquiries, supporting school-wide events, and leveraging data to drive decision-making. Adept at collaborating with cross-functional teams to ensure seamless daily operations and enhance stakeholder satisfaction.</w:t>
      </w:r>
    </w:p>
    <w:p>
      <w:pPr>
        <w:spacing w:before="180" w:after="80"/>
        <w:pBdr>
          <w:bottom w:val="single" w:sz="6" w:space="1" w:color="1C3557"/>
        </w:pBdr>
        <w:keepNext/>
      </w:pPr>
      <w:r>
        <w:rPr>
          <w:b/>
          <w:color w:val="1C3557"/>
          <w:sz w:val="21"/>
        </w:rPr>
        <w:t>CORE COMPETENCIES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5040"/>
            <w:shd w:val="clear" w:color="auto" w:fill="FFFFFF"/>
          </w:tcPr>
          <w:p>
            <w:pPr>
              <w:spacing w:before="40" w:after="40"/>
            </w:pPr>
            <w:r>
              <w:rPr>
                <w:b/>
                <w:color w:val="1C3557"/>
                <w:sz w:val="18"/>
              </w:rPr>
              <w:t>Operations &amp; Administration</w:t>
            </w:r>
          </w:p>
        </w:tc>
        <w:tc>
          <w:tcPr>
            <w:tcW w:type="dxa" w:w="5040"/>
            <w:shd w:val="clear" w:color="auto" w:fill="FFFFFF"/>
          </w:tcPr>
          <w:p>
            <w:pPr>
              <w:spacing w:before="40" w:after="40"/>
            </w:pPr>
            <w:r>
              <w:rPr>
                <w:b/>
                <w:color w:val="1C3557"/>
                <w:sz w:val="18"/>
              </w:rPr>
              <w:t>Technology &amp; Automation</w:t>
            </w:r>
          </w:p>
        </w:tc>
      </w:tr>
      <w:tr>
        <w:tc>
          <w:tcPr>
            <w:tcW w:type="dxa" w:w="5040"/>
          </w:tcPr>
          <w:p>
            <w:pPr>
              <w:spacing w:before="20" w:after="20"/>
            </w:pPr>
            <w:r>
              <w:rPr>
                <w:sz w:val="19"/>
              </w:rPr>
              <w:t>• Student Admissions &amp; Records Management</w:t>
            </w:r>
          </w:p>
        </w:tc>
        <w:tc>
          <w:tcPr>
            <w:tcW w:type="dxa" w:w="5040"/>
          </w:tcPr>
          <w:p>
            <w:pPr>
              <w:spacing w:before="20" w:after="20"/>
            </w:pPr>
            <w:r>
              <w:rPr>
                <w:sz w:val="19"/>
              </w:rPr>
              <w:t>• Zapier, Asana, Sleekflow</w:t>
            </w:r>
          </w:p>
        </w:tc>
      </w:tr>
      <w:tr>
        <w:tc>
          <w:tcPr>
            <w:tcW w:type="dxa" w:w="5040"/>
          </w:tcPr>
          <w:p>
            <w:pPr>
              <w:spacing w:before="20" w:after="20"/>
            </w:pPr>
            <w:r>
              <w:rPr>
                <w:sz w:val="19"/>
              </w:rPr>
              <w:t>• Enquiry Handling (Phone/Email/Platforms)</w:t>
            </w:r>
          </w:p>
        </w:tc>
        <w:tc>
          <w:tcPr>
            <w:tcW w:type="dxa" w:w="5040"/>
          </w:tcPr>
          <w:p>
            <w:pPr>
              <w:spacing w:before="20" w:after="20"/>
            </w:pPr>
            <w:r>
              <w:rPr>
                <w:sz w:val="19"/>
              </w:rPr>
              <w:t>• Excel Automation &amp; Reporting</w:t>
            </w:r>
          </w:p>
        </w:tc>
      </w:tr>
      <w:tr>
        <w:tc>
          <w:tcPr>
            <w:tcW w:type="dxa" w:w="5040"/>
          </w:tcPr>
          <w:p>
            <w:pPr>
              <w:spacing w:before="20" w:after="20"/>
            </w:pPr>
            <w:r>
              <w:rPr>
                <w:sz w:val="19"/>
              </w:rPr>
              <w:t>• Administrative Workflow Automation</w:t>
            </w:r>
          </w:p>
        </w:tc>
        <w:tc>
          <w:tcPr>
            <w:tcW w:type="dxa" w:w="5040"/>
          </w:tcPr>
          <w:p>
            <w:pPr>
              <w:spacing w:before="20" w:after="20"/>
            </w:pPr>
            <w:r>
              <w:rPr>
                <w:sz w:val="19"/>
              </w:rPr>
              <w:t>• Performance Metrics &amp; Data Analysis</w:t>
            </w:r>
          </w:p>
        </w:tc>
      </w:tr>
      <w:tr>
        <w:tc>
          <w:tcPr>
            <w:tcW w:type="dxa" w:w="5040"/>
          </w:tcPr>
          <w:p>
            <w:pPr>
              <w:spacing w:before="20" w:after="20"/>
            </w:pPr>
            <w:r>
              <w:rPr>
                <w:sz w:val="19"/>
              </w:rPr>
              <w:t>• Data Entry &amp; Student Information Systems</w:t>
            </w:r>
          </w:p>
        </w:tc>
        <w:tc>
          <w:tcPr>
            <w:tcW w:type="dxa" w:w="5040"/>
          </w:tcPr>
          <w:p>
            <w:pPr>
              <w:spacing w:before="20" w:after="20"/>
            </w:pPr>
            <w:r>
              <w:rPr>
                <w:sz w:val="19"/>
              </w:rPr>
              <w:t>• Cross-functional Collaboration</w:t>
            </w:r>
          </w:p>
        </w:tc>
      </w:tr>
      <w:tr>
        <w:tc>
          <w:tcPr>
            <w:tcW w:type="dxa" w:w="5040"/>
          </w:tcPr>
          <w:p>
            <w:pPr>
              <w:spacing w:before="20" w:after="20"/>
            </w:pPr>
            <w:r>
              <w:rPr>
                <w:sz w:val="19"/>
              </w:rPr>
              <w:t>• Event Coordination &amp; Support</w:t>
            </w:r>
          </w:p>
        </w:tc>
        <w:tc>
          <w:tcPr>
            <w:tcW w:type="dxa" w:w="5040"/>
          </w:tcPr>
          <w:p>
            <w:pPr>
              <w:spacing w:before="20" w:after="20"/>
            </w:pPr>
            <w:r>
              <w:rPr>
                <w:sz w:val="19"/>
              </w:rPr>
              <w:t>• Staff Training &amp; Scheduling</w:t>
            </w:r>
          </w:p>
        </w:tc>
      </w:tr>
      <w:tr>
        <w:tc>
          <w:tcPr>
            <w:tcW w:type="dxa" w:w="5040"/>
          </w:tcPr>
          <w:p>
            <w:pPr>
              <w:spacing w:before="20" w:after="20"/>
            </w:pPr>
            <w:r>
              <w:rPr>
                <w:sz w:val="19"/>
              </w:rPr>
              <w:t>• Process Improvement &amp; Bottleneck Analysis</w:t>
            </w:r>
          </w:p>
        </w:tc>
        <w:tc>
          <w:tcPr>
            <w:tcW w:type="dxa" w:w="5040"/>
          </w:tcPr>
          <w:p>
            <w:pPr>
              <w:spacing w:before="20" w:after="20"/>
            </w:pPr>
            <w:r>
              <w:rPr>
                <w:sz w:val="19"/>
              </w:rPr>
              <w:t>• Compliance &amp; Milestone Delivery</w:t>
            </w:r>
          </w:p>
        </w:tc>
      </w:tr>
    </w:tbl>
    <w:p>
      <w:pPr>
        <w:spacing w:before="0" w:after="0"/>
      </w:pPr>
    </w:p>
    <w:p>
      <w:pPr>
        <w:spacing w:before="180" w:after="80"/>
        <w:pBdr>
          <w:bottom w:val="single" w:sz="6" w:space="1" w:color="1C3557"/>
        </w:pBdr>
        <w:keepNext/>
      </w:pPr>
      <w:r>
        <w:rPr>
          <w:b/>
          <w:color w:val="1C3557"/>
          <w:sz w:val="21"/>
        </w:rPr>
        <w:t>PROFESSIONAL EXPERIENCE</w:t>
      </w:r>
    </w:p>
    <w:p>
      <w:pPr>
        <w:spacing w:before="80" w:after="0"/>
        <w:keepNext/>
        <w:keepLines/>
      </w:pPr>
      <w:r>
        <w:rPr>
          <w:b/>
          <w:color w:val="1C3557"/>
          <w:sz w:val="20"/>
        </w:rPr>
        <w:t>Admission &amp; Operation Executive</w:t>
      </w:r>
      <w:r>
        <w:rPr>
          <w:color w:val="1C3557"/>
          <w:sz w:val="20"/>
        </w:rPr>
        <w:t xml:space="preserve">  —  </w:t>
      </w:r>
      <w:r>
        <w:rPr>
          <w:b/>
          <w:color w:val="1C3557"/>
          <w:sz w:val="20"/>
        </w:rPr>
        <w:t>Venturenix LAB Limited</w:t>
      </w:r>
    </w:p>
    <w:p>
      <w:pPr>
        <w:spacing w:before="0" w:after="20"/>
        <w:keepNext/>
      </w:pPr>
      <w:r>
        <w:rPr>
          <w:i/>
          <w:color w:val="888888"/>
          <w:sz w:val="18"/>
        </w:rPr>
        <w:t>Nov 2025 – Present</w:t>
      </w:r>
    </w:p>
    <w:p>
      <w:pPr>
        <w:pStyle w:val="ListBullet"/>
        <w:spacing w:before="0" w:after="20"/>
        <w:ind w:left="288"/>
        <w:keepNext/>
      </w:pPr>
      <w:r>
        <w:rPr>
          <w:sz w:val="20"/>
        </w:rPr>
        <w:t>Managed student admissions and onboarding processes, ensuring accurate data entry and high enrollment rates in an adult education environment.</w:t>
      </w:r>
    </w:p>
    <w:p>
      <w:pPr>
        <w:pStyle w:val="ListBullet"/>
        <w:spacing w:before="0" w:after="20"/>
        <w:ind w:left="288"/>
        <w:keepNext/>
      </w:pPr>
      <w:r>
        <w:rPr>
          <w:sz w:val="20"/>
        </w:rPr>
        <w:t>Led student support and engagement initiatives, improving satisfaction and retention through proactive communication and issue resolution.</w:t>
      </w:r>
    </w:p>
    <w:p>
      <w:pPr>
        <w:pStyle w:val="ListBullet"/>
        <w:spacing w:before="0" w:after="20"/>
        <w:ind w:left="288"/>
      </w:pPr>
      <w:r>
        <w:rPr>
          <w:sz w:val="20"/>
        </w:rPr>
        <w:t>Streamlined administrative workflows using automation tools (Zapier, Asana, Sleekflow), reducing manual tasks and enhancing operational efficiency.</w:t>
      </w:r>
    </w:p>
    <w:p>
      <w:pPr>
        <w:pStyle w:val="ListBullet"/>
        <w:spacing w:before="0" w:after="20"/>
        <w:ind w:left="288"/>
      </w:pPr>
      <w:r>
        <w:rPr>
          <w:sz w:val="20"/>
        </w:rPr>
        <w:t>Analyzed enrollment and operational data to identify trends, supporting data-driven improvements in program delivery and resource allocation.</w:t>
      </w:r>
    </w:p>
    <w:p>
      <w:pPr>
        <w:spacing w:before="80" w:after="0"/>
        <w:keepNext/>
        <w:keepLines/>
      </w:pPr>
      <w:r>
        <w:rPr>
          <w:b/>
          <w:color w:val="1C3557"/>
          <w:sz w:val="20"/>
        </w:rPr>
        <w:t>Course Admin &amp; Customer Service Executive</w:t>
      </w:r>
      <w:r>
        <w:rPr>
          <w:color w:val="1C3557"/>
          <w:sz w:val="20"/>
        </w:rPr>
        <w:t xml:space="preserve">  —  </w:t>
      </w:r>
      <w:r>
        <w:rPr>
          <w:b/>
          <w:color w:val="1C3557"/>
          <w:sz w:val="20"/>
        </w:rPr>
        <w:t>Smark Global (Holdings) Limited</w:t>
      </w:r>
    </w:p>
    <w:p>
      <w:pPr>
        <w:spacing w:before="0" w:after="20"/>
        <w:keepNext/>
      </w:pPr>
      <w:r>
        <w:rPr>
          <w:i/>
          <w:color w:val="888888"/>
          <w:sz w:val="18"/>
        </w:rPr>
        <w:t>Aug 2023 – Jun 2025</w:t>
      </w:r>
    </w:p>
    <w:p>
      <w:pPr>
        <w:pStyle w:val="ListBullet"/>
        <w:spacing w:before="0" w:after="20"/>
        <w:ind w:left="288"/>
        <w:keepNext/>
      </w:pPr>
      <w:r>
        <w:rPr>
          <w:sz w:val="20"/>
        </w:rPr>
        <w:t>Led operational strategy for government-funded programs, ensuring compliance, on-time milestone delivery, and alignment with business objectives.</w:t>
      </w:r>
    </w:p>
    <w:p>
      <w:pPr>
        <w:pStyle w:val="ListBullet"/>
        <w:spacing w:before="0" w:after="20"/>
        <w:ind w:left="288"/>
        <w:keepNext/>
      </w:pPr>
      <w:r>
        <w:rPr>
          <w:sz w:val="20"/>
        </w:rPr>
        <w:t>Managed NITTP initiatives from course creation to classroom execution, optimizing funding utilization and maintaining program quality.</w:t>
      </w:r>
    </w:p>
    <w:p>
      <w:pPr>
        <w:pStyle w:val="ListBullet"/>
        <w:spacing w:before="0" w:after="20"/>
        <w:ind w:left="288"/>
      </w:pPr>
      <w:r>
        <w:rPr>
          <w:sz w:val="20"/>
        </w:rPr>
        <w:t>Evaluated workflow bottlenecks and implemented Excel automation, reducing reporting time and improving overall team efficiency.</w:t>
      </w:r>
    </w:p>
    <w:p>
      <w:pPr>
        <w:pStyle w:val="ListBullet"/>
        <w:spacing w:before="0" w:after="20"/>
        <w:ind w:left="288"/>
      </w:pPr>
      <w:r>
        <w:rPr>
          <w:sz w:val="20"/>
        </w:rPr>
        <w:t>Monitored program performance metrics and prepared reports for senior management to inform strategic decisions and process improvements.</w:t>
      </w:r>
    </w:p>
    <w:p>
      <w:pPr>
        <w:spacing w:before="80" w:after="0"/>
        <w:keepNext/>
        <w:keepLines/>
      </w:pPr>
      <w:r>
        <w:rPr>
          <w:b/>
          <w:color w:val="1C3557"/>
          <w:sz w:val="20"/>
        </w:rPr>
        <w:t>Senior Operations Officer</w:t>
      </w:r>
      <w:r>
        <w:rPr>
          <w:color w:val="1C3557"/>
          <w:sz w:val="20"/>
        </w:rPr>
        <w:t xml:space="preserve">  —  </w:t>
      </w:r>
      <w:r>
        <w:rPr>
          <w:b/>
          <w:color w:val="1C3557"/>
          <w:sz w:val="20"/>
        </w:rPr>
        <w:t>Edge Franchising Co. Limited</w:t>
      </w:r>
    </w:p>
    <w:p>
      <w:pPr>
        <w:spacing w:before="0" w:after="20"/>
        <w:keepNext/>
      </w:pPr>
      <w:r>
        <w:rPr>
          <w:i/>
          <w:color w:val="888888"/>
          <w:sz w:val="18"/>
        </w:rPr>
        <w:t>Dec 2020 – Aug 2023</w:t>
      </w:r>
    </w:p>
    <w:p>
      <w:pPr>
        <w:pStyle w:val="ListBullet"/>
        <w:spacing w:before="0" w:after="20"/>
        <w:ind w:left="288"/>
        <w:keepNext/>
      </w:pPr>
      <w:r>
        <w:rPr>
          <w:sz w:val="20"/>
        </w:rPr>
        <w:t>Optimized daily operations at a multi-floor education center by coordinating Academic Tutoring, Test Prep, and Admissions Consulting units.</w:t>
      </w:r>
    </w:p>
    <w:p>
      <w:pPr>
        <w:pStyle w:val="ListBullet"/>
        <w:spacing w:before="0" w:after="20"/>
        <w:ind w:left="288"/>
        <w:keepNext/>
      </w:pPr>
      <w:r>
        <w:rPr>
          <w:sz w:val="20"/>
        </w:rPr>
        <w:t>Oversaw administration, front-of-house activities, and staff scheduling, maximizing resources to ensure seamless class and consultation delivery.</w:t>
      </w:r>
    </w:p>
    <w:p>
      <w:pPr>
        <w:pStyle w:val="ListBullet"/>
        <w:spacing w:before="0" w:after="20"/>
        <w:ind w:left="288"/>
      </w:pPr>
      <w:r>
        <w:rPr>
          <w:sz w:val="20"/>
        </w:rPr>
        <w:t>Tracked performance metrics to support data-driven decisions and improve student satisfaction across all service lines.</w:t>
      </w:r>
    </w:p>
    <w:p>
      <w:pPr>
        <w:spacing w:before="80" w:after="0"/>
        <w:keepNext/>
        <w:keepLines/>
      </w:pPr>
      <w:r>
        <w:rPr>
          <w:b/>
          <w:color w:val="1C3557"/>
          <w:sz w:val="20"/>
        </w:rPr>
        <w:t>Customer Service Executive</w:t>
      </w:r>
      <w:r>
        <w:rPr>
          <w:color w:val="1C3557"/>
          <w:sz w:val="20"/>
        </w:rPr>
        <w:t xml:space="preserve">  —  </w:t>
      </w:r>
      <w:r>
        <w:rPr>
          <w:b/>
          <w:color w:val="1C3557"/>
          <w:sz w:val="20"/>
        </w:rPr>
        <w:t>Sogo Hong Kong</w:t>
      </w:r>
    </w:p>
    <w:p>
      <w:pPr>
        <w:spacing w:before="0" w:after="20"/>
        <w:keepNext/>
      </w:pPr>
      <w:r>
        <w:rPr>
          <w:i/>
          <w:color w:val="888888"/>
          <w:sz w:val="18"/>
        </w:rPr>
        <w:t>Jan 2020 – Dec 2020</w:t>
      </w:r>
    </w:p>
    <w:p>
      <w:pPr>
        <w:pStyle w:val="ListBullet"/>
        <w:spacing w:before="0" w:after="20"/>
        <w:ind w:left="288"/>
        <w:keepNext/>
      </w:pPr>
      <w:r>
        <w:rPr>
          <w:sz w:val="20"/>
        </w:rPr>
        <w:t>Oversaw concierge and call center teams, ensuring efficient handling of inquiries, service requests, and escalations via phone and email.</w:t>
      </w:r>
    </w:p>
    <w:p>
      <w:pPr>
        <w:pStyle w:val="ListBullet"/>
        <w:spacing w:before="0" w:after="20"/>
        <w:ind w:left="288"/>
        <w:keepNext/>
      </w:pPr>
      <w:r>
        <w:rPr>
          <w:sz w:val="20"/>
        </w:rPr>
        <w:t>Acted as a liaison between customers and brand partners, resolving issues and maintaining smooth daily operations.</w:t>
      </w:r>
    </w:p>
    <w:p>
      <w:pPr>
        <w:pStyle w:val="ListBullet"/>
        <w:spacing w:before="0" w:after="20"/>
        <w:ind w:left="288"/>
      </w:pPr>
      <w:r>
        <w:rPr>
          <w:sz w:val="20"/>
        </w:rPr>
        <w:t>Trained and guided new staff to maintain high service standards and consistency in a fast-paced environment.</w:t>
      </w:r>
    </w:p>
    <w:p>
      <w:pPr>
        <w:spacing w:before="180" w:after="80"/>
        <w:pBdr>
          <w:bottom w:val="single" w:sz="6" w:space="1" w:color="1C3557"/>
        </w:pBdr>
        <w:keepNext/>
      </w:pPr>
      <w:r>
        <w:rPr>
          <w:b/>
          <w:color w:val="1C3557"/>
          <w:sz w:val="21"/>
        </w:rPr>
        <w:t>EARLIER EXPERIENCE</w:t>
      </w:r>
    </w:p>
    <w:p>
      <w:pPr>
        <w:spacing w:before="0" w:after="20"/>
        <w:ind w:left="144"/>
        <w:keepNext/>
      </w:pPr>
      <w:r>
        <w:rPr>
          <w:color w:val="444444"/>
          <w:sz w:val="18"/>
        </w:rPr>
        <w:t>• May 2019 – Dec 2019: Customer Support Executive, Chrono24 Asia-Pacific Limited</w:t>
      </w:r>
    </w:p>
    <w:p>
      <w:pPr>
        <w:spacing w:before="0" w:after="20"/>
        <w:ind w:left="144"/>
        <w:keepNext/>
      </w:pPr>
      <w:r>
        <w:rPr>
          <w:color w:val="444444"/>
          <w:sz w:val="18"/>
        </w:rPr>
        <w:t>• Jun 2018 – Apr 2019: Hostess, Prestige House</w:t>
      </w:r>
    </w:p>
    <w:p>
      <w:pPr>
        <w:spacing w:before="0" w:after="20"/>
        <w:ind w:left="144"/>
        <w:keepNext/>
      </w:pPr>
      <w:r>
        <w:rPr>
          <w:color w:val="444444"/>
          <w:sz w:val="18"/>
        </w:rPr>
        <w:t>• Jan 2018 – May 2018: Guest Relation Officer, The Murray Hong Kong</w:t>
      </w:r>
    </w:p>
    <w:p>
      <w:pPr>
        <w:spacing w:before="0" w:after="20"/>
        <w:ind w:left="144"/>
        <w:keepNext/>
      </w:pPr>
      <w:r>
        <w:rPr>
          <w:color w:val="444444"/>
          <w:sz w:val="18"/>
        </w:rPr>
        <w:t>• Jan 2014 – Oct 2014: Guest Relationship Officer, Motor Image (Kowloon) Limited</w:t>
      </w:r>
    </w:p>
    <w:p>
      <w:pPr>
        <w:spacing w:before="0" w:after="20"/>
        <w:ind w:left="144"/>
        <w:keepNext/>
      </w:pPr>
      <w:r>
        <w:rPr>
          <w:color w:val="444444"/>
          <w:sz w:val="18"/>
        </w:rPr>
        <w:t>• Nov 2010 – Nov 2013: Supervisor of CS Ambassador, Premium Motors Limited</w:t>
      </w:r>
    </w:p>
    <w:p>
      <w:pPr>
        <w:spacing w:before="0" w:after="20"/>
        <w:ind w:left="144"/>
        <w:keepNext/>
      </w:pPr>
      <w:r>
        <w:rPr>
          <w:color w:val="444444"/>
          <w:sz w:val="18"/>
        </w:rPr>
        <w:t>• Jul 2009 – Sep 2010: Contract Ticket Shroff, Ocean Park Hong Kong</w:t>
      </w:r>
    </w:p>
    <w:p>
      <w:pPr>
        <w:spacing w:before="0" w:after="20"/>
        <w:ind w:left="144"/>
      </w:pPr>
      <w:r>
        <w:rPr>
          <w:color w:val="444444"/>
          <w:sz w:val="18"/>
        </w:rPr>
        <w:t>• Nov 2006 – Jan 2009: Contract Telesales Representative, AIG Finance (Hong Kong) Limited</w:t>
      </w:r>
    </w:p>
    <w:p>
      <w:pPr>
        <w:spacing w:before="180" w:after="80"/>
        <w:pBdr>
          <w:bottom w:val="single" w:sz="6" w:space="1" w:color="1C3557"/>
        </w:pBdr>
        <w:keepNext/>
      </w:pPr>
      <w:r>
        <w:rPr>
          <w:b/>
          <w:color w:val="1C3557"/>
          <w:sz w:val="21"/>
        </w:rPr>
        <w:t>EDUCATION</w:t>
      </w:r>
    </w:p>
    <w:p>
      <w:pPr>
        <w:spacing w:before="60" w:after="0"/>
        <w:keepNext/>
      </w:pPr>
      <w:r>
        <w:rPr>
          <w:b/>
          <w:color w:val="000000"/>
          <w:sz w:val="20"/>
        </w:rPr>
        <w:t>Java Enterprise System Development and Data Engineering</w:t>
      </w:r>
    </w:p>
    <w:p>
      <w:pPr>
        <w:spacing w:before="0" w:after="40"/>
        <w:keepNext/>
      </w:pPr>
      <w:r>
        <w:rPr>
          <w:color w:val="666666"/>
          <w:sz w:val="18"/>
        </w:rPr>
        <w:t>Venturenix LAB Limited  |  Aug 2025 – Nov 2025</w:t>
      </w:r>
    </w:p>
    <w:p>
      <w:pPr>
        <w:spacing w:before="60" w:after="0"/>
        <w:keepNext/>
      </w:pPr>
      <w:r>
        <w:rPr>
          <w:b/>
          <w:color w:val="000000"/>
          <w:sz w:val="20"/>
        </w:rPr>
        <w:t>Bachelor of Arts (Hons) – Business Studies (Human Resource Management)</w:t>
      </w:r>
    </w:p>
    <w:p>
      <w:pPr>
        <w:spacing w:before="0" w:after="40"/>
        <w:keepNext/>
      </w:pPr>
      <w:r>
        <w:rPr>
          <w:color w:val="666666"/>
          <w:sz w:val="18"/>
        </w:rPr>
        <w:t>University of Greenwich  |  Sep 2023 – Oct 2024</w:t>
      </w:r>
    </w:p>
    <w:p>
      <w:pPr>
        <w:spacing w:before="60" w:after="0"/>
        <w:keepNext/>
      </w:pPr>
      <w:r>
        <w:rPr>
          <w:b/>
          <w:color w:val="000000"/>
          <w:sz w:val="20"/>
        </w:rPr>
        <w:t>Professional Diploma in Human Resource Management</w:t>
      </w:r>
    </w:p>
    <w:p>
      <w:pPr>
        <w:spacing w:before="0" w:after="40"/>
      </w:pPr>
      <w:r>
        <w:rPr>
          <w:color w:val="666666"/>
          <w:sz w:val="18"/>
        </w:rPr>
        <w:t>The Hong Kong Management Association  |  Jun 2022 – May 2023</w:t>
      </w:r>
    </w:p>
    <w:p>
      <w:pPr>
        <w:spacing w:before="180" w:after="80"/>
        <w:pBdr>
          <w:bottom w:val="single" w:sz="6" w:space="1" w:color="1C3557"/>
        </w:pBdr>
        <w:keepNext/>
      </w:pPr>
      <w:r>
        <w:rPr>
          <w:b/>
          <w:color w:val="1C3557"/>
          <w:sz w:val="21"/>
        </w:rPr>
        <w:t>CERTIFICATIONS &amp; PROFESSIONAL DEVELOPMENT</w:t>
      </w:r>
    </w:p>
    <w:p>
      <w:pPr>
        <w:pStyle w:val="ListBullet"/>
        <w:spacing w:before="0" w:after="20"/>
        <w:ind w:left="288"/>
        <w:keepNext/>
      </w:pPr>
      <w:r>
        <w:rPr>
          <w:sz w:val="18"/>
        </w:rPr>
        <w:t>Jan 2026: Data for Business Analysts Using Microsoft Excel (Microsoft)</w:t>
      </w:r>
    </w:p>
    <w:p>
      <w:pPr>
        <w:pStyle w:val="ListBullet"/>
        <w:spacing w:before="0" w:after="20"/>
        <w:ind w:left="288"/>
        <w:keepNext/>
      </w:pPr>
      <w:r>
        <w:rPr>
          <w:sz w:val="18"/>
        </w:rPr>
        <w:t>Dec 2025: Business Analysis Fundamentals (Microsoft)</w:t>
      </w:r>
    </w:p>
    <w:p>
      <w:pPr>
        <w:pStyle w:val="ListBullet"/>
        <w:spacing w:before="0" w:after="20"/>
        <w:ind w:left="288"/>
        <w:keepNext/>
      </w:pPr>
      <w:r>
        <w:rPr>
          <w:sz w:val="18"/>
        </w:rPr>
        <w:t>Jun 2025: Artificial Intelligence and The Rule of Law (UNESCO &amp; The National Judicial College)</w:t>
      </w:r>
    </w:p>
    <w:p>
      <w:pPr>
        <w:pStyle w:val="ListBullet"/>
        <w:spacing w:before="0" w:after="20"/>
        <w:ind w:left="288"/>
      </w:pPr>
      <w:r>
        <w:rPr>
          <w:sz w:val="18"/>
        </w:rPr>
        <w:t>Jun 2021: Project Management &amp; Data Analysis using Excel (Feva Works IT Education Centre)</w:t>
      </w:r>
    </w:p>
    <w:p>
      <w:pPr>
        <w:spacing w:before="180" w:after="80"/>
        <w:pBdr>
          <w:bottom w:val="single" w:sz="6" w:space="1" w:color="1C3557"/>
        </w:pBdr>
        <w:keepNext/>
      </w:pPr>
      <w:r>
        <w:rPr>
          <w:b/>
          <w:color w:val="1C3557"/>
          <w:sz w:val="21"/>
        </w:rPr>
        <w:t>LANGUAGES</w:t>
      </w:r>
    </w:p>
    <w:p>
      <w:pPr>
        <w:spacing w:before="0" w:after="40"/>
        <w:keepNext/>
      </w:pPr>
      <w:r>
        <w:rPr>
          <w:color w:val="444444"/>
          <w:sz w:val="20"/>
        </w:rPr>
        <w:t>Cantonese   |   English   |   Mandarin</w:t>
      </w:r>
    </w:p>
    <w:p>
      <w:pPr>
        <w:spacing w:before="180" w:after="80"/>
        <w:pBdr>
          <w:bottom w:val="single" w:sz="6" w:space="1" w:color="1C3557"/>
        </w:pBdr>
        <w:keepNext/>
      </w:pPr>
      <w:r>
        <w:rPr>
          <w:b/>
          <w:color w:val="1C3557"/>
          <w:sz w:val="21"/>
        </w:rPr>
        <w:t>SALARY EXPECTATION &amp; AVAILABILITY</w:t>
      </w:r>
    </w:p>
    <w:p>
      <w:pPr>
        <w:spacing w:before="0" w:after="0"/>
      </w:pPr>
      <w:r>
        <w:rPr>
          <w:color w:val="444444"/>
          <w:sz w:val="20"/>
        </w:rPr>
        <w:t>Expected Salary: HKD 30,000 – 34,000 per month (x13 months)   |   Notice Period: 1 Month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