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Results-driven project and operations professional with over 8 years of experience in education, training, and customer service environments. Proven track record in supporting government-funded programs, streamlining administrative workflows through automation, and leveraging data analysis to drive operational improvements. Adept at maintaining stakeholder relationships and implementing digital learning initiatives. Seeking to apply project coordination and EdTech expertise to support innovative education projects at Hong Kong Education City.</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Project Coordination</w:t>
            </w:r>
          </w:p>
        </w:tc>
        <w:tc>
          <w:tcPr>
            <w:tcW w:type="dxa" w:w="5040"/>
          </w:tcPr>
          <w:p>
            <w:pPr>
              <w:spacing w:before="20" w:after="20"/>
            </w:pPr>
            <w:r>
              <w:rPr>
                <w:sz w:val="19"/>
              </w:rPr>
              <w:t>• Asana Project Management</w:t>
            </w:r>
          </w:p>
        </w:tc>
      </w:tr>
      <w:tr>
        <w:tc>
          <w:tcPr>
            <w:tcW w:type="dxa" w:w="5040"/>
          </w:tcPr>
          <w:p>
            <w:pPr>
              <w:spacing w:before="20" w:after="20"/>
            </w:pPr>
            <w:r>
              <w:rPr>
                <w:sz w:val="19"/>
              </w:rPr>
              <w:t>• Stakeholder Relationship Management</w:t>
            </w:r>
          </w:p>
        </w:tc>
        <w:tc>
          <w:tcPr>
            <w:tcW w:type="dxa" w:w="5040"/>
          </w:tcPr>
          <w:p>
            <w:pPr>
              <w:spacing w:before="20" w:after="20"/>
            </w:pPr>
            <w:r>
              <w:rPr>
                <w:sz w:val="19"/>
              </w:rPr>
              <w:t>• Sleekflow CRM</w:t>
            </w:r>
          </w:p>
        </w:tc>
      </w:tr>
      <w:tr>
        <w:tc>
          <w:tcPr>
            <w:tcW w:type="dxa" w:w="5040"/>
          </w:tcPr>
          <w:p>
            <w:pPr>
              <w:spacing w:before="20" w:after="20"/>
            </w:pPr>
            <w:r>
              <w:rPr>
                <w:sz w:val="19"/>
              </w:rPr>
              <w:t>• Operational Workflow Optimization</w:t>
            </w:r>
          </w:p>
        </w:tc>
        <w:tc>
          <w:tcPr>
            <w:tcW w:type="dxa" w:w="5040"/>
          </w:tcPr>
          <w:p>
            <w:pPr>
              <w:spacing w:before="20" w:after="20"/>
            </w:pPr>
            <w:r>
              <w:rPr>
                <w:sz w:val="19"/>
              </w:rPr>
              <w:t>• Excel Automation &amp; VBA</w:t>
            </w:r>
          </w:p>
        </w:tc>
      </w:tr>
      <w:tr>
        <w:tc>
          <w:tcPr>
            <w:tcW w:type="dxa" w:w="5040"/>
          </w:tcPr>
          <w:p>
            <w:pPr>
              <w:spacing w:before="20" w:after="20"/>
            </w:pPr>
            <w:r>
              <w:rPr>
                <w:sz w:val="19"/>
              </w:rPr>
              <w:t>• Data Analysis &amp; Reporting</w:t>
            </w:r>
          </w:p>
        </w:tc>
        <w:tc>
          <w:tcPr>
            <w:tcW w:type="dxa" w:w="5040"/>
          </w:tcPr>
          <w:p>
            <w:pPr>
              <w:spacing w:before="20" w:after="20"/>
            </w:pPr>
            <w:r>
              <w:rPr>
                <w:sz w:val="19"/>
              </w:rPr>
              <w:t>• Government-Funded Program Management</w:t>
            </w:r>
          </w:p>
        </w:tc>
      </w:tr>
      <w:tr>
        <w:tc>
          <w:tcPr>
            <w:tcW w:type="dxa" w:w="5040"/>
          </w:tcPr>
          <w:p>
            <w:pPr>
              <w:spacing w:before="20" w:after="20"/>
            </w:pPr>
            <w:r>
              <w:rPr>
                <w:sz w:val="19"/>
              </w:rPr>
              <w:t>• Generative AI Tools (Familiarity)</w:t>
            </w:r>
          </w:p>
        </w:tc>
        <w:tc>
          <w:tcPr>
            <w:tcW w:type="dxa" w:w="5040"/>
          </w:tcPr>
          <w:p>
            <w:pPr>
              <w:spacing w:before="20" w:after="20"/>
            </w:pPr>
            <w:r>
              <w:rPr>
                <w:sz w:val="19"/>
              </w:rPr>
              <w:t>• Enrollment &amp; Retention Strategy</w:t>
            </w:r>
          </w:p>
        </w:tc>
      </w:tr>
      <w:tr>
        <w:tc>
          <w:tcPr>
            <w:tcW w:type="dxa" w:w="5040"/>
          </w:tcPr>
          <w:p>
            <w:pPr>
              <w:spacing w:before="20" w:after="20"/>
            </w:pPr>
            <w:r>
              <w:rPr>
                <w:sz w:val="19"/>
              </w:rPr>
              <w:t>• Zapier Automation</w:t>
            </w:r>
          </w:p>
        </w:tc>
        <w:tc>
          <w:tcPr>
            <w:tcW w:type="dxa" w:w="5040"/>
          </w:tcPr>
          <w:p>
            <w:pPr>
              <w:spacing w:before="20" w:after="20"/>
            </w:pPr>
            <w:r>
              <w:rPr>
                <w:sz w:val="19"/>
              </w:rPr>
              <w:t>• Training &amp; Development Support</w:t>
            </w:r>
          </w:p>
        </w:tc>
      </w:tr>
    </w:tbl>
    <w:p>
      <w:pPr>
        <w:spacing w:before="0" w:after="0"/>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 student admissions and onboarding processes, achieving high enrollment rates through streamlined workflows and data-driven outreach.</w:t>
      </w:r>
    </w:p>
    <w:p>
      <w:pPr>
        <w:pStyle w:val="ListBullet"/>
        <w:spacing w:before="0" w:after="20"/>
        <w:ind w:left="288"/>
        <w:keepNext/>
      </w:pPr>
      <w:r>
        <w:rPr>
          <w:sz w:val="20"/>
        </w:rPr>
        <w:t>Lead student support and engagement initiatives, improving satisfaction and retention in an adult education/tech training environment.</w:t>
      </w:r>
    </w:p>
    <w:p>
      <w:pPr>
        <w:pStyle w:val="ListBullet"/>
        <w:spacing w:before="0" w:after="20"/>
        <w:ind w:left="288"/>
      </w:pPr>
      <w:r>
        <w:rPr>
          <w:sz w:val="20"/>
        </w:rPr>
        <w:t>Automate administrative tasks using Zapier, Asana, and Sleekflow, reducing manual effort and enhancing operational efficiency.</w:t>
      </w:r>
    </w:p>
    <w:p>
      <w:pPr>
        <w:pStyle w:val="ListBullet"/>
        <w:spacing w:before="0" w:after="20"/>
        <w:ind w:left="288"/>
      </w:pPr>
      <w:r>
        <w:rPr>
          <w:sz w:val="20"/>
        </w:rPr>
        <w:t>Analyze enrollment and operational data to identify trends, inform strategic decisions, and support continuous improvement.</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training programs (NITTP), ensuring compliance, on-time milestone delivery, and alignment with business objectives.</w:t>
      </w:r>
    </w:p>
    <w:p>
      <w:pPr>
        <w:pStyle w:val="ListBullet"/>
        <w:spacing w:before="0" w:after="20"/>
        <w:ind w:left="288"/>
        <w:keepNext/>
      </w:pPr>
      <w:r>
        <w:rPr>
          <w:sz w:val="20"/>
        </w:rPr>
        <w:t>Managed end-to-end course creation and classroom execution, optimizing funding utilization and maintaining high program quality.</w:t>
      </w:r>
    </w:p>
    <w:p>
      <w:pPr>
        <w:pStyle w:val="ListBullet"/>
        <w:spacing w:before="0" w:after="20"/>
        <w:ind w:left="288"/>
      </w:pPr>
      <w:r>
        <w:rPr>
          <w:sz w:val="20"/>
        </w:rPr>
        <w:t>Evaluated workflow bottlenecks and implemented Excel automation, reducing reporting time and improving team efficiency.</w:t>
      </w:r>
    </w:p>
    <w:p>
      <w:pPr>
        <w:pStyle w:val="ListBullet"/>
        <w:spacing w:before="0" w:after="20"/>
        <w:ind w:left="288"/>
      </w:pPr>
      <w:r>
        <w:rPr>
          <w:sz w:val="20"/>
        </w:rPr>
        <w:t>Monitored program performance metrics and prepared analytic reports for senior management to support data-driven decision-making.</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across a multi-floor education center, coordinating Academic Tutoring, Test Prep, and Admissions Consulting units.</w:t>
      </w:r>
    </w:p>
    <w:p>
      <w:pPr>
        <w:pStyle w:val="ListBullet"/>
        <w:spacing w:before="0" w:after="20"/>
        <w:ind w:left="288"/>
        <w:keepNext/>
      </w:pPr>
      <w:r>
        <w:rPr>
          <w:sz w:val="20"/>
        </w:rPr>
        <w:t>Oversaw administration, front-of-house activities, and staff scheduling to maximize resources and ensure seamless service delivery.</w:t>
      </w:r>
    </w:p>
    <w:p>
      <w:pPr>
        <w:pStyle w:val="ListBullet"/>
        <w:spacing w:before="0" w:after="20"/>
        <w:ind w:left="288"/>
      </w:pPr>
      <w:r>
        <w:rPr>
          <w:sz w:val="20"/>
        </w:rPr>
        <w:t>Tracked performance metrics and operational data to support data-driven decisions and improve student satisfaction.</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Supervised concierge and call center teams, ensuring efficient handling of inquiries, service requests, and escalations.</w:t>
      </w:r>
    </w:p>
    <w:p>
      <w:pPr>
        <w:pStyle w:val="ListBullet"/>
        <w:spacing w:before="0" w:after="20"/>
        <w:ind w:left="288"/>
        <w:keepNext/>
      </w:pPr>
      <w:r>
        <w:rPr>
          <w:sz w:val="20"/>
        </w:rPr>
        <w:t>Acted as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 across the team.</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keepNext/>
      </w:pPr>
      <w:r>
        <w:rPr>
          <w:sz w:val="18"/>
        </w:rPr>
        <w:t>Jun 2025: Artificial Intelligence and The Rule of Law (UNESCO &amp; The National Judicial College)</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