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b/>
          <w:color w:val="1C3557"/>
          <w:sz w:val="32"/>
        </w:rPr>
        <w:t>STEPHANIE AU</w:t>
      </w:r>
    </w:p>
    <w:p>
      <w:pPr>
        <w:spacing w:before="0" w:after="40"/>
        <w:jc w:val="center"/>
      </w:pPr>
      <w:r>
        <w:rPr>
          <w:color w:val="444444"/>
          <w:sz w:val="18"/>
        </w:rPr>
        <w:t>(852) 6207 3000  |  stepauzi@ymail.com  |  linkedin.com/in/stephanie-au-96a793197</w:t>
      </w:r>
    </w:p>
    <w:p>
      <w:pPr>
        <w:spacing w:before="40" w:after="40"/>
        <w:pBdr>
          <w:bottom w:val="single" w:sz="6" w:space="1" w:color="1C3557"/>
        </w:pBdr>
      </w:pPr>
    </w:p>
    <w:p>
      <w:pPr>
        <w:spacing w:before="180" w:after="80"/>
        <w:pBdr>
          <w:bottom w:val="single" w:sz="6" w:space="1" w:color="1C3557"/>
        </w:pBdr>
        <w:keepNext/>
      </w:pPr>
      <w:r>
        <w:rPr>
          <w:b/>
          <w:color w:val="1C3557"/>
          <w:sz w:val="21"/>
        </w:rPr>
        <w:t>PROFESSIONAL SUMMARY</w:t>
      </w:r>
    </w:p>
    <w:p>
      <w:pPr>
        <w:spacing w:before="0" w:after="0"/>
      </w:pPr>
      <w:r>
        <w:rPr>
          <w:sz w:val="20"/>
        </w:rPr>
        <w:t>Results-driven operations and customer engagement professional with over 8 years of experience in client-facing roles, program management, and data-driven process improvement. Proven track record of enhancing member satisfaction and retention through strategic engagement initiatives and workflow automation. Adept at analyzing customer data to inform engagement strategies and delivering actionable reports to senior management.</w:t>
      </w:r>
    </w:p>
    <w:p>
      <w:pPr>
        <w:spacing w:before="180" w:after="80"/>
        <w:pBdr>
          <w:bottom w:val="single" w:sz="6" w:space="1" w:color="1C3557"/>
        </w:pBdr>
        <w:keepNext/>
      </w:pPr>
      <w:r>
        <w:rPr>
          <w:b/>
          <w:color w:val="1C3557"/>
          <w:sz w:val="21"/>
        </w:rPr>
        <w:t>CORE COMPETENCIES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5040"/>
            <w:shd w:val="clear" w:color="auto" w:fill="FFFFFF"/>
          </w:tcPr>
          <w:p>
            <w:pPr>
              <w:spacing w:before="40" w:after="40"/>
            </w:pPr>
            <w:r>
              <w:rPr>
                <w:b/>
                <w:color w:val="1C3557"/>
                <w:sz w:val="18"/>
              </w:rPr>
              <w:t>Operations &amp; Administration</w:t>
            </w:r>
          </w:p>
        </w:tc>
        <w:tc>
          <w:tcPr>
            <w:tcW w:type="dxa" w:w="5040"/>
            <w:shd w:val="clear" w:color="auto" w:fill="FFFFFF"/>
          </w:tcPr>
          <w:p>
            <w:pPr>
              <w:spacing w:before="40" w:after="40"/>
            </w:pPr>
            <w:r>
              <w:rPr>
                <w:b/>
                <w:color w:val="1C3557"/>
                <w:sz w:val="18"/>
              </w:rPr>
              <w:t>Technology &amp; Automation</w:t>
            </w:r>
          </w:p>
        </w:tc>
      </w:tr>
      <w:tr>
        <w:tc>
          <w:tcPr>
            <w:tcW w:type="dxa" w:w="5040"/>
          </w:tcPr>
          <w:p>
            <w:pPr>
              <w:spacing w:before="20" w:after="20"/>
            </w:pPr>
            <w:r>
              <w:rPr>
                <w:sz w:val="19"/>
              </w:rPr>
              <w:t>• Client Relationship Management</w:t>
            </w:r>
          </w:p>
        </w:tc>
        <w:tc>
          <w:tcPr>
            <w:tcW w:type="dxa" w:w="5040"/>
          </w:tcPr>
          <w:p>
            <w:pPr>
              <w:spacing w:before="20" w:after="20"/>
            </w:pPr>
            <w:r>
              <w:rPr>
                <w:sz w:val="19"/>
              </w:rPr>
              <w:t>• Cross-functional Collaboration</w:t>
            </w:r>
          </w:p>
        </w:tc>
      </w:tr>
      <w:tr>
        <w:tc>
          <w:tcPr>
            <w:tcW w:type="dxa" w:w="5040"/>
          </w:tcPr>
          <w:p>
            <w:pPr>
              <w:spacing w:before="20" w:after="20"/>
            </w:pPr>
            <w:r>
              <w:rPr>
                <w:sz w:val="19"/>
              </w:rPr>
              <w:t>• Customer Engagement Strategy</w:t>
            </w:r>
          </w:p>
        </w:tc>
        <w:tc>
          <w:tcPr>
            <w:tcW w:type="dxa" w:w="5040"/>
          </w:tcPr>
          <w:p>
            <w:pPr>
              <w:spacing w:before="20" w:after="20"/>
            </w:pPr>
            <w:r>
              <w:rPr>
                <w:sz w:val="19"/>
              </w:rPr>
              <w:t>• Zapier, Asana, Sleekflow</w:t>
            </w:r>
          </w:p>
        </w:tc>
      </w:tr>
      <w:tr>
        <w:tc>
          <w:tcPr>
            <w:tcW w:type="dxa" w:w="5040"/>
          </w:tcPr>
          <w:p>
            <w:pPr>
              <w:spacing w:before="20" w:after="20"/>
            </w:pPr>
            <w:r>
              <w:rPr>
                <w:sz w:val="19"/>
              </w:rPr>
              <w:t>• Data Analysis &amp; Reporting</w:t>
            </w:r>
          </w:p>
        </w:tc>
        <w:tc>
          <w:tcPr>
            <w:tcW w:type="dxa" w:w="5040"/>
          </w:tcPr>
          <w:p>
            <w:pPr>
              <w:spacing w:before="20" w:after="20"/>
            </w:pPr>
            <w:r>
              <w:rPr>
                <w:sz w:val="19"/>
              </w:rPr>
              <w:t>• Excel Automation &amp; VBA</w:t>
            </w:r>
          </w:p>
        </w:tc>
      </w:tr>
      <w:tr>
        <w:tc>
          <w:tcPr>
            <w:tcW w:type="dxa" w:w="5040"/>
          </w:tcPr>
          <w:p>
            <w:pPr>
              <w:spacing w:before="20" w:after="20"/>
            </w:pPr>
            <w:r>
              <w:rPr>
                <w:sz w:val="19"/>
              </w:rPr>
              <w:t>• Operational Workflow Automation</w:t>
            </w:r>
          </w:p>
        </w:tc>
        <w:tc>
          <w:tcPr>
            <w:tcW w:type="dxa" w:w="5040"/>
          </w:tcPr>
          <w:p>
            <w:pPr>
              <w:spacing w:before="20" w:after="20"/>
            </w:pPr>
            <w:r>
              <w:rPr>
                <w:sz w:val="19"/>
              </w:rPr>
              <w:t>• Performance Metrics Tracking</w:t>
            </w:r>
          </w:p>
        </w:tc>
      </w:tr>
      <w:tr>
        <w:tc>
          <w:tcPr>
            <w:tcW w:type="dxa" w:w="5040"/>
          </w:tcPr>
          <w:p>
            <w:pPr>
              <w:spacing w:before="20" w:after="20"/>
            </w:pPr>
            <w:r>
              <w:rPr>
                <w:sz w:val="19"/>
              </w:rPr>
              <w:t>• Process Improvement</w:t>
            </w:r>
          </w:p>
        </w:tc>
        <w:tc>
          <w:tcPr>
            <w:tcW w:type="dxa" w:w="5040"/>
          </w:tcPr>
          <w:p>
            <w:pPr>
              <w:spacing w:before="20" w:after="20"/>
            </w:pPr>
            <w:r>
              <w:rPr>
                <w:sz w:val="19"/>
              </w:rPr>
              <w:t>• Government-funded Program Compliance</w:t>
            </w:r>
          </w:p>
        </w:tc>
      </w:tr>
      <w:tr>
        <w:tc>
          <w:tcPr>
            <w:tcW w:type="dxa" w:w="5040"/>
          </w:tcPr>
          <w:p>
            <w:pPr>
              <w:spacing w:before="20" w:after="20"/>
            </w:pPr>
            <w:r>
              <w:rPr>
                <w:sz w:val="19"/>
              </w:rPr>
              <w:t>• Enrollment &amp; Retention Optimization</w:t>
            </w:r>
          </w:p>
        </w:tc>
        <w:tc>
          <w:tcPr>
            <w:tcW w:type="dxa" w:w="5040"/>
          </w:tcPr>
          <w:p>
            <w:pPr>
              <w:spacing w:before="20" w:after="20"/>
            </w:pPr>
            <w:r>
              <w:rPr>
                <w:sz w:val="19"/>
              </w:rPr>
              <w:t>• Stakeholder Communication</w:t>
            </w:r>
          </w:p>
        </w:tc>
      </w:tr>
    </w:tbl>
    <w:p>
      <w:pPr>
        <w:spacing w:before="0" w:after="0"/>
        <w:spacing w:line="20" w:lineRule="exact"/>
      </w:pPr>
    </w:p>
    <w:p>
      <w:pPr>
        <w:spacing w:before="180" w:after="80"/>
        <w:pBdr>
          <w:bottom w:val="single" w:sz="6" w:space="1" w:color="1C3557"/>
        </w:pBdr>
        <w:keepNext/>
      </w:pPr>
      <w:r>
        <w:rPr>
          <w:b/>
          <w:color w:val="1C3557"/>
          <w:sz w:val="21"/>
        </w:rPr>
        <w:t>PROFESSIONAL EXPERIENCE</w:t>
      </w:r>
    </w:p>
    <w:p>
      <w:pPr>
        <w:spacing w:before="80" w:after="0"/>
        <w:keepNext/>
        <w:keepLines/>
      </w:pPr>
      <w:r>
        <w:rPr>
          <w:b/>
          <w:color w:val="1C3557"/>
          <w:sz w:val="20"/>
        </w:rPr>
        <w:t>Admission &amp; Operation Executive</w:t>
      </w:r>
      <w:r>
        <w:rPr>
          <w:color w:val="1C3557"/>
          <w:sz w:val="20"/>
        </w:rPr>
        <w:t xml:space="preserve">  —  </w:t>
      </w:r>
      <w:r>
        <w:rPr>
          <w:b/>
          <w:color w:val="1C3557"/>
          <w:sz w:val="20"/>
        </w:rPr>
        <w:t>Venturenix LAB Limited</w:t>
      </w:r>
    </w:p>
    <w:p>
      <w:pPr>
        <w:spacing w:before="0" w:after="20"/>
        <w:keepNext/>
      </w:pPr>
      <w:r>
        <w:rPr>
          <w:i/>
          <w:color w:val="888888"/>
          <w:sz w:val="18"/>
        </w:rPr>
        <w:t>Nov 2025 – Present</w:t>
      </w:r>
    </w:p>
    <w:p>
      <w:pPr>
        <w:pStyle w:val="ListBullet"/>
        <w:spacing w:before="0" w:after="20"/>
        <w:ind w:left="288"/>
        <w:keepNext/>
      </w:pPr>
      <w:r>
        <w:rPr>
          <w:sz w:val="20"/>
        </w:rPr>
        <w:t>Manage student admissions and onboarding, achieving high enrollment rates through streamlined processes and proactive engagement.</w:t>
      </w:r>
    </w:p>
    <w:p>
      <w:pPr>
        <w:pStyle w:val="ListBullet"/>
        <w:spacing w:before="0" w:after="20"/>
        <w:ind w:left="288"/>
        <w:keepNext/>
      </w:pPr>
      <w:r>
        <w:rPr>
          <w:sz w:val="20"/>
        </w:rPr>
        <w:t>Lead student support and engagement initiatives, driving measurable improvements in satisfaction and retention.</w:t>
      </w:r>
    </w:p>
    <w:p>
      <w:pPr>
        <w:pStyle w:val="ListBullet"/>
        <w:spacing w:before="0" w:after="20"/>
        <w:ind w:left="288"/>
      </w:pPr>
      <w:r>
        <w:rPr>
          <w:sz w:val="20"/>
        </w:rPr>
        <w:t>Automate administrative workflows using Zapier, Asana, and Sleekflow, reducing manual effort and enhancing operational efficiency.</w:t>
      </w:r>
    </w:p>
    <w:p>
      <w:pPr>
        <w:pStyle w:val="ListBullet"/>
        <w:spacing w:before="0" w:after="20"/>
        <w:ind w:left="288"/>
      </w:pPr>
      <w:r>
        <w:rPr>
          <w:sz w:val="20"/>
        </w:rPr>
        <w:t>Analyze enrollment and operational data to identify trends, optimize engagement strategies, and support data-driven decision-making.</w:t>
      </w:r>
    </w:p>
    <w:p>
      <w:pPr>
        <w:spacing w:before="80" w:after="0"/>
        <w:keepNext/>
        <w:keepLines/>
      </w:pPr>
      <w:r>
        <w:rPr>
          <w:b/>
          <w:color w:val="1C3557"/>
          <w:sz w:val="20"/>
        </w:rPr>
        <w:t>Course Admin &amp; Customer Service Executive</w:t>
      </w:r>
      <w:r>
        <w:rPr>
          <w:color w:val="1C3557"/>
          <w:sz w:val="20"/>
        </w:rPr>
        <w:t xml:space="preserve">  —  </w:t>
      </w:r>
      <w:r>
        <w:rPr>
          <w:b/>
          <w:color w:val="1C3557"/>
          <w:sz w:val="20"/>
        </w:rPr>
        <w:t>Smark Global (Holdings) Limited</w:t>
      </w:r>
    </w:p>
    <w:p>
      <w:pPr>
        <w:spacing w:before="0" w:after="20"/>
        <w:keepNext/>
      </w:pPr>
      <w:r>
        <w:rPr>
          <w:i/>
          <w:color w:val="888888"/>
          <w:sz w:val="18"/>
        </w:rPr>
        <w:t>Aug 2023 – Jun 2025</w:t>
      </w:r>
    </w:p>
    <w:p>
      <w:pPr>
        <w:pStyle w:val="ListBullet"/>
        <w:spacing w:before="0" w:after="20"/>
        <w:ind w:left="288"/>
        <w:keepNext/>
      </w:pPr>
      <w:r>
        <w:rPr>
          <w:sz w:val="20"/>
        </w:rPr>
        <w:t>Led operational strategy for government-funded programs, ensuring compliance, on-time milestone delivery, and alignment with business objectives.</w:t>
      </w:r>
    </w:p>
    <w:p>
      <w:pPr>
        <w:pStyle w:val="ListBullet"/>
        <w:spacing w:before="0" w:after="20"/>
        <w:ind w:left="288"/>
        <w:keepNext/>
      </w:pPr>
      <w:r>
        <w:rPr>
          <w:sz w:val="20"/>
        </w:rPr>
        <w:t>Managed NITTP initiatives from course creation to classroom execution, optimizing funding utilization and maintaining program quality.</w:t>
      </w:r>
    </w:p>
    <w:p>
      <w:pPr>
        <w:pStyle w:val="ListBullet"/>
        <w:spacing w:before="0" w:after="20"/>
        <w:ind w:left="288"/>
      </w:pPr>
      <w:r>
        <w:rPr>
          <w:sz w:val="20"/>
        </w:rPr>
        <w:t>Evaluated workflow bottlenecks and implemented Excel automation, reducing reporting time and improving efficiency.</w:t>
      </w:r>
    </w:p>
    <w:p>
      <w:pPr>
        <w:pStyle w:val="ListBullet"/>
        <w:spacing w:before="0" w:after="20"/>
        <w:ind w:left="288"/>
      </w:pPr>
      <w:r>
        <w:rPr>
          <w:sz w:val="20"/>
        </w:rPr>
        <w:t>Monitored program performance metrics and prepared reports for senior management to inform strategic decisions.</w:t>
      </w:r>
    </w:p>
    <w:p>
      <w:pPr>
        <w:spacing w:before="80" w:after="0"/>
        <w:keepNext/>
        <w:keepLines/>
      </w:pPr>
      <w:r>
        <w:rPr>
          <w:b/>
          <w:color w:val="1C3557"/>
          <w:sz w:val="20"/>
        </w:rPr>
        <w:t>Senior Operations Officer</w:t>
      </w:r>
      <w:r>
        <w:rPr>
          <w:color w:val="1C3557"/>
          <w:sz w:val="20"/>
        </w:rPr>
        <w:t xml:space="preserve">  —  </w:t>
      </w:r>
      <w:r>
        <w:rPr>
          <w:b/>
          <w:color w:val="1C3557"/>
          <w:sz w:val="20"/>
        </w:rPr>
        <w:t>Edge Franchising Co. Limited</w:t>
      </w:r>
    </w:p>
    <w:p>
      <w:pPr>
        <w:spacing w:before="0" w:after="20"/>
        <w:keepNext/>
      </w:pPr>
      <w:r>
        <w:rPr>
          <w:i/>
          <w:color w:val="888888"/>
          <w:sz w:val="18"/>
        </w:rPr>
        <w:t>Dec 2020 – Aug 2023</w:t>
      </w:r>
    </w:p>
    <w:p>
      <w:pPr>
        <w:pStyle w:val="ListBullet"/>
        <w:spacing w:before="0" w:after="20"/>
        <w:ind w:left="288"/>
        <w:keepNext/>
      </w:pPr>
      <w:r>
        <w:rPr>
          <w:sz w:val="20"/>
        </w:rPr>
        <w:t>Optimized daily operations across a multi-floor education center by coordinating Academic Tutoring, Test Prep, and Admissions Consulting units.</w:t>
      </w:r>
    </w:p>
    <w:p>
      <w:pPr>
        <w:pStyle w:val="ListBullet"/>
        <w:spacing w:before="0" w:after="20"/>
        <w:ind w:left="288"/>
        <w:keepNext/>
      </w:pPr>
      <w:r>
        <w:rPr>
          <w:sz w:val="20"/>
        </w:rPr>
        <w:t>Oversaw administration, front-of-house activities, and staff scheduling, maximizing resources to ensure seamless service delivery.</w:t>
      </w:r>
    </w:p>
    <w:p>
      <w:pPr>
        <w:pStyle w:val="ListBullet"/>
        <w:spacing w:before="0" w:after="20"/>
        <w:ind w:left="288"/>
      </w:pPr>
      <w:r>
        <w:rPr>
          <w:sz w:val="20"/>
        </w:rPr>
        <w:t>Tracked performance metrics to support data-driven decisions and improve student satisfaction.</w:t>
      </w:r>
    </w:p>
    <w:p>
      <w:pPr>
        <w:spacing w:before="80" w:after="0"/>
        <w:keepNext/>
        <w:keepLines/>
      </w:pPr>
      <w:r>
        <w:rPr>
          <w:b/>
          <w:color w:val="1C3557"/>
          <w:sz w:val="20"/>
        </w:rPr>
        <w:t>Customer Service Executive</w:t>
      </w:r>
      <w:r>
        <w:rPr>
          <w:color w:val="1C3557"/>
          <w:sz w:val="20"/>
        </w:rPr>
        <w:t xml:space="preserve">  —  </w:t>
      </w:r>
      <w:r>
        <w:rPr>
          <w:b/>
          <w:color w:val="1C3557"/>
          <w:sz w:val="20"/>
        </w:rPr>
        <w:t>Sogo Hong Kong</w:t>
      </w:r>
    </w:p>
    <w:p>
      <w:pPr>
        <w:spacing w:before="0" w:after="20"/>
        <w:keepNext/>
      </w:pPr>
      <w:r>
        <w:rPr>
          <w:i/>
          <w:color w:val="888888"/>
          <w:sz w:val="18"/>
        </w:rPr>
        <w:t>Jan 2020 – Dec 2020</w:t>
      </w:r>
    </w:p>
    <w:p>
      <w:pPr>
        <w:pStyle w:val="ListBullet"/>
        <w:spacing w:before="0" w:after="20"/>
        <w:ind w:left="288"/>
        <w:keepNext/>
      </w:pPr>
      <w:r>
        <w:rPr>
          <w:sz w:val="20"/>
        </w:rPr>
        <w:t>Oversaw concierge and call center teams, ensuring efficient handling of inquiries, service requests, and escalations.</w:t>
      </w:r>
    </w:p>
    <w:p>
      <w:pPr>
        <w:pStyle w:val="ListBullet"/>
        <w:spacing w:before="0" w:after="20"/>
        <w:ind w:left="288"/>
        <w:keepNext/>
      </w:pPr>
      <w:r>
        <w:rPr>
          <w:sz w:val="20"/>
        </w:rPr>
        <w:t>Acted as liaison between customers and brand partners, resolving issues and maintaining smooth daily operations.</w:t>
      </w:r>
    </w:p>
    <w:p>
      <w:pPr>
        <w:pStyle w:val="ListBullet"/>
        <w:spacing w:before="0" w:after="20"/>
        <w:ind w:left="288"/>
      </w:pPr>
      <w:r>
        <w:rPr>
          <w:sz w:val="20"/>
        </w:rPr>
        <w:t>Trained and guided new staff to maintain high service standards and consistency.</w:t>
      </w:r>
    </w:p>
    <w:p>
      <w:pPr>
        <w:spacing w:before="180" w:after="80"/>
        <w:pBdr>
          <w:bottom w:val="single" w:sz="6" w:space="1" w:color="1C3557"/>
        </w:pBdr>
        <w:keepNext/>
      </w:pPr>
      <w:r>
        <w:rPr>
          <w:b/>
          <w:color w:val="1C3557"/>
          <w:sz w:val="21"/>
        </w:rPr>
        <w:t>EARLIER EXPERIENCE</w:t>
      </w:r>
    </w:p>
    <w:p>
      <w:pPr>
        <w:spacing w:before="0" w:after="20"/>
        <w:ind w:left="144"/>
        <w:keepNext/>
      </w:pPr>
      <w:r>
        <w:rPr>
          <w:color w:val="444444"/>
          <w:sz w:val="18"/>
        </w:rPr>
        <w:t>• May 2019 – Dec 2019: Customer Support Executive, Chrono24 Asia-Pacific Limited</w:t>
      </w:r>
    </w:p>
    <w:p>
      <w:pPr>
        <w:spacing w:before="0" w:after="20"/>
        <w:ind w:left="144"/>
        <w:keepNext/>
      </w:pPr>
      <w:r>
        <w:rPr>
          <w:color w:val="444444"/>
          <w:sz w:val="18"/>
        </w:rPr>
        <w:t>• Jun 2018 – Apr 2019: Hostess, Prestige House</w:t>
      </w:r>
    </w:p>
    <w:p>
      <w:pPr>
        <w:spacing w:before="0" w:after="20"/>
        <w:ind w:left="144"/>
        <w:keepNext/>
      </w:pPr>
      <w:r>
        <w:rPr>
          <w:color w:val="444444"/>
          <w:sz w:val="18"/>
        </w:rPr>
        <w:t>• Jan 2018 – May 2018: Guest Relation Officer, The Murray Hong Kong</w:t>
      </w:r>
    </w:p>
    <w:p>
      <w:pPr>
        <w:spacing w:before="0" w:after="20"/>
        <w:ind w:left="144"/>
        <w:keepNext/>
      </w:pPr>
      <w:r>
        <w:rPr>
          <w:color w:val="444444"/>
          <w:sz w:val="18"/>
        </w:rPr>
        <w:t>• Jan 2014 – Oct 2014: Guest Relationship Officer, Motor Image (Kowloon) Limited</w:t>
      </w:r>
    </w:p>
    <w:p>
      <w:pPr>
        <w:spacing w:before="0" w:after="20"/>
        <w:ind w:left="144"/>
        <w:keepNext/>
      </w:pPr>
      <w:r>
        <w:rPr>
          <w:color w:val="444444"/>
          <w:sz w:val="18"/>
        </w:rPr>
        <w:t>• Nov 2010 – Nov 2013: Supervisor of CS Ambassador, Premium Motors Limited</w:t>
      </w:r>
    </w:p>
    <w:p>
      <w:pPr>
        <w:spacing w:before="0" w:after="20"/>
        <w:ind w:left="144"/>
        <w:keepNext/>
      </w:pPr>
      <w:r>
        <w:rPr>
          <w:color w:val="444444"/>
          <w:sz w:val="18"/>
        </w:rPr>
        <w:t>• Jul 2009 – Sep 2010: Contract Ticket Shroff, Ocean Park Hong Kong</w:t>
      </w:r>
    </w:p>
    <w:p>
      <w:pPr>
        <w:spacing w:before="0" w:after="20"/>
        <w:ind w:left="144"/>
      </w:pPr>
      <w:r>
        <w:rPr>
          <w:color w:val="444444"/>
          <w:sz w:val="18"/>
        </w:rPr>
        <w:t>• Nov 2006 – Jan 2009: Contract Telesales Representative, AIG Finance (Hong Kong) Limited</w:t>
      </w:r>
    </w:p>
    <w:p>
      <w:pPr>
        <w:spacing w:before="180" w:after="80"/>
        <w:pBdr>
          <w:bottom w:val="single" w:sz="6" w:space="1" w:color="1C3557"/>
        </w:pBdr>
        <w:keepNext/>
      </w:pPr>
      <w:r>
        <w:rPr>
          <w:b/>
          <w:color w:val="1C3557"/>
          <w:sz w:val="21"/>
        </w:rPr>
        <w:t>EDUCATION</w:t>
      </w:r>
    </w:p>
    <w:p>
      <w:pPr>
        <w:spacing w:before="60" w:after="0"/>
        <w:keepNext/>
      </w:pPr>
      <w:r>
        <w:rPr>
          <w:b/>
          <w:color w:val="000000"/>
          <w:sz w:val="20"/>
        </w:rPr>
        <w:t>Java Enterprise System Development and Data Engineering</w:t>
      </w:r>
    </w:p>
    <w:p>
      <w:pPr>
        <w:spacing w:before="0" w:after="40"/>
        <w:keepNext/>
      </w:pPr>
      <w:r>
        <w:rPr>
          <w:color w:val="666666"/>
          <w:sz w:val="18"/>
        </w:rPr>
        <w:t>Venturenix LAB Limited  |  Aug 2025 – Nov 2025</w:t>
      </w:r>
    </w:p>
    <w:p>
      <w:pPr>
        <w:spacing w:before="60" w:after="0"/>
        <w:keepNext/>
      </w:pPr>
      <w:r>
        <w:rPr>
          <w:b/>
          <w:color w:val="000000"/>
          <w:sz w:val="20"/>
        </w:rPr>
        <w:t>Bachelor of Arts (Hons) – Business Studies (Human Resource Management)</w:t>
      </w:r>
    </w:p>
    <w:p>
      <w:pPr>
        <w:spacing w:before="0" w:after="40"/>
        <w:keepNext/>
      </w:pPr>
      <w:r>
        <w:rPr>
          <w:color w:val="666666"/>
          <w:sz w:val="18"/>
        </w:rPr>
        <w:t>University of Greenwich  |  Sep 2023 – Oct 2024</w:t>
      </w:r>
    </w:p>
    <w:p>
      <w:pPr>
        <w:spacing w:before="60" w:after="0"/>
        <w:keepNext/>
      </w:pPr>
      <w:r>
        <w:rPr>
          <w:b/>
          <w:color w:val="000000"/>
          <w:sz w:val="20"/>
        </w:rPr>
        <w:t>Professional Diploma in Human Resource Management</w:t>
      </w:r>
    </w:p>
    <w:p>
      <w:pPr>
        <w:spacing w:before="0" w:after="40"/>
      </w:pPr>
      <w:r>
        <w:rPr>
          <w:color w:val="666666"/>
          <w:sz w:val="18"/>
        </w:rPr>
        <w:t>The Hong Kong Management Association  |  Jun 2022 – May 2023</w:t>
      </w:r>
    </w:p>
    <w:p>
      <w:pPr>
        <w:spacing w:before="180" w:after="80"/>
        <w:pBdr>
          <w:bottom w:val="single" w:sz="6" w:space="1" w:color="1C3557"/>
        </w:pBdr>
        <w:keepNext/>
      </w:pPr>
      <w:r>
        <w:rPr>
          <w:b/>
          <w:color w:val="1C3557"/>
          <w:sz w:val="21"/>
        </w:rPr>
        <w:t>CERTIFICATIONS &amp; PROFESSIONAL DEVELOPMENT</w:t>
      </w:r>
    </w:p>
    <w:p>
      <w:pPr>
        <w:pStyle w:val="ListBullet"/>
        <w:spacing w:before="0" w:after="20"/>
        <w:ind w:left="288"/>
        <w:keepNext/>
      </w:pPr>
      <w:r>
        <w:rPr>
          <w:sz w:val="18"/>
        </w:rPr>
        <w:t>Jan 2026: Data for Business Analysts Using Microsoft Excel (Microsoft)</w:t>
      </w:r>
    </w:p>
    <w:p>
      <w:pPr>
        <w:pStyle w:val="ListBullet"/>
        <w:spacing w:before="0" w:after="20"/>
        <w:ind w:left="288"/>
        <w:keepNext/>
      </w:pPr>
      <w:r>
        <w:rPr>
          <w:sz w:val="18"/>
        </w:rPr>
        <w:t>Dec 2025: Business Analysis Fundamentals (Microsoft)</w:t>
      </w:r>
    </w:p>
    <w:p>
      <w:pPr>
        <w:pStyle w:val="ListBullet"/>
        <w:spacing w:before="0" w:after="20"/>
        <w:ind w:left="288"/>
        <w:keepNext/>
      </w:pPr>
      <w:r>
        <w:rPr>
          <w:sz w:val="18"/>
        </w:rPr>
        <w:t>Sep 2025: IIQE Paper I – Principles &amp; Practice of Insurance (VTC)</w:t>
      </w:r>
    </w:p>
    <w:p>
      <w:pPr>
        <w:pStyle w:val="ListBullet"/>
        <w:spacing w:before="0" w:after="20"/>
        <w:ind w:left="288"/>
        <w:keepNext/>
      </w:pPr>
      <w:r>
        <w:rPr>
          <w:sz w:val="18"/>
        </w:rPr>
        <w:t>Jun 2025: IIQE Paper III – Long Term Insurance (VTC)</w:t>
      </w:r>
    </w:p>
    <w:p>
      <w:pPr>
        <w:pStyle w:val="ListBullet"/>
        <w:spacing w:before="0" w:after="20"/>
        <w:ind w:left="288"/>
      </w:pPr>
      <w:r>
        <w:rPr>
          <w:sz w:val="18"/>
        </w:rPr>
        <w:t>Jun 2021: Project Management &amp; Data Analysis using Excel (Feva Works IT Education Centre)</w:t>
      </w:r>
    </w:p>
    <w:p>
      <w:pPr>
        <w:spacing w:before="180" w:after="80"/>
        <w:pBdr>
          <w:bottom w:val="single" w:sz="6" w:space="1" w:color="1C3557"/>
        </w:pBdr>
        <w:keepNext/>
      </w:pPr>
      <w:r>
        <w:rPr>
          <w:b/>
          <w:color w:val="1C3557"/>
          <w:sz w:val="21"/>
        </w:rPr>
        <w:t>LANGUAGES</w:t>
      </w:r>
    </w:p>
    <w:p>
      <w:pPr>
        <w:spacing w:before="0" w:after="40"/>
        <w:keepNext/>
      </w:pPr>
      <w:r>
        <w:rPr>
          <w:color w:val="444444"/>
          <w:sz w:val="20"/>
        </w:rPr>
        <w:t>Cantonese   |   English   |   Mandarin</w:t>
      </w:r>
    </w:p>
    <w:p>
      <w:pPr>
        <w:spacing w:before="180" w:after="80"/>
        <w:pBdr>
          <w:bottom w:val="single" w:sz="6" w:space="1" w:color="1C3557"/>
        </w:pBdr>
        <w:keepNext/>
      </w:pPr>
      <w:r>
        <w:rPr>
          <w:b/>
          <w:color w:val="1C3557"/>
          <w:sz w:val="21"/>
        </w:rPr>
        <w:t>SALARY EXPECTATION &amp; AVAILABILITY</w:t>
      </w:r>
    </w:p>
    <w:p>
      <w:pPr>
        <w:spacing w:before="0" w:after="0"/>
      </w:pPr>
      <w:r>
        <w:rPr>
          <w:color w:val="444444"/>
          <w:sz w:val="20"/>
        </w:rPr>
        <w:t>Expected Salary: HKD 30,000 – 34,000 per month (x13 months)   |   Notice Period: 1 Month</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