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B9F78A" w14:textId="187F37E6" w:rsidR="00AB0292" w:rsidRDefault="00AB0292" w:rsidP="00AB0292">
      <w:pPr>
        <w:spacing w:before="100" w:beforeAutospacing="1" w:after="100" w:afterAutospacing="1"/>
        <w:rPr>
          <w:rFonts w:ascii="CMR17" w:hAnsi="CMR17"/>
          <w:sz w:val="42"/>
          <w:szCs w:val="42"/>
        </w:rPr>
      </w:pPr>
      <w:r>
        <w:rPr>
          <w:rFonts w:ascii="CMR17" w:hAnsi="CMR17"/>
          <w:sz w:val="42"/>
          <w:szCs w:val="42"/>
        </w:rPr>
        <w:t>DSC 680</w:t>
      </w:r>
      <w:r w:rsidRPr="00AB0292">
        <w:rPr>
          <w:rFonts w:ascii="CMR17" w:hAnsi="CMR17"/>
          <w:sz w:val="42"/>
          <w:szCs w:val="42"/>
        </w:rPr>
        <w:t xml:space="preserve">: </w:t>
      </w:r>
      <w:r>
        <w:rPr>
          <w:rFonts w:ascii="CMR17" w:hAnsi="CMR17"/>
          <w:sz w:val="42"/>
          <w:szCs w:val="42"/>
        </w:rPr>
        <w:t xml:space="preserve">Project 1 </w:t>
      </w:r>
      <w:r w:rsidR="00A15A6B">
        <w:rPr>
          <w:rFonts w:ascii="CMR17" w:hAnsi="CMR17"/>
          <w:sz w:val="42"/>
          <w:szCs w:val="42"/>
        </w:rPr>
        <w:t>–</w:t>
      </w:r>
      <w:r>
        <w:rPr>
          <w:rFonts w:ascii="CMR17" w:hAnsi="CMR17"/>
          <w:sz w:val="42"/>
          <w:szCs w:val="42"/>
        </w:rPr>
        <w:t xml:space="preserve"> </w:t>
      </w:r>
      <w:r w:rsidR="00D46828">
        <w:rPr>
          <w:rFonts w:ascii="CMR17" w:hAnsi="CMR17"/>
          <w:sz w:val="42"/>
          <w:szCs w:val="42"/>
        </w:rPr>
        <w:t>Report</w:t>
      </w:r>
    </w:p>
    <w:p w14:paraId="2A090B69" w14:textId="1D3CB351" w:rsidR="00A15A6B" w:rsidRPr="00AB0292" w:rsidRDefault="00A15A6B" w:rsidP="00AB0292">
      <w:pPr>
        <w:spacing w:before="100" w:beforeAutospacing="1" w:after="100" w:afterAutospacing="1"/>
      </w:pPr>
      <w:r>
        <w:rPr>
          <w:rFonts w:ascii="CMR17" w:hAnsi="CMR17"/>
          <w:sz w:val="42"/>
          <w:szCs w:val="42"/>
        </w:rPr>
        <w:t>Reading market sentiment – from VIX</w:t>
      </w:r>
    </w:p>
    <w:p w14:paraId="2F635956" w14:textId="7EED2CE6" w:rsidR="00A15A6B" w:rsidRPr="00A15A6B" w:rsidRDefault="00A15A6B" w:rsidP="0061672E">
      <w:r>
        <w:rPr>
          <w:rFonts w:ascii="CMR10" w:hAnsi="CMR10"/>
          <w:sz w:val="22"/>
          <w:szCs w:val="22"/>
        </w:rPr>
        <w:t xml:space="preserve">      </w:t>
      </w:r>
      <w:r w:rsidRPr="0061672E">
        <w:rPr>
          <w:rFonts w:ascii="CMBX12" w:hAnsi="CMBX12"/>
          <w:sz w:val="28"/>
          <w:szCs w:val="28"/>
        </w:rPr>
        <w:t xml:space="preserve">  </w:t>
      </w:r>
      <w:r w:rsidR="0061672E" w:rsidRPr="0061672E">
        <w:rPr>
          <w:rFonts w:ascii="CMR10" w:hAnsi="CMR10"/>
          <w:sz w:val="22"/>
          <w:szCs w:val="22"/>
        </w:rPr>
        <w:t>Volatility attempts to measure magnitude of price movements that a financial instrument experiences over a certain period of time. The more dramatic the price swings are in that instrument, the higher the level of volatility, and vice versa</w:t>
      </w:r>
      <w:r w:rsidR="0061672E">
        <w:rPr>
          <w:rFonts w:ascii="CMR10" w:hAnsi="CMR10"/>
          <w:sz w:val="22"/>
          <w:szCs w:val="22"/>
        </w:rPr>
        <w:t>.</w:t>
      </w:r>
    </w:p>
    <w:p w14:paraId="1E0CC202" w14:textId="7B55512F" w:rsidR="00AB0292" w:rsidRDefault="00AB0292" w:rsidP="00AB0292">
      <w:pPr>
        <w:spacing w:before="100" w:beforeAutospacing="1" w:after="100" w:afterAutospacing="1"/>
        <w:rPr>
          <w:rFonts w:ascii="CMBX12" w:hAnsi="CMBX12"/>
          <w:sz w:val="28"/>
          <w:szCs w:val="28"/>
        </w:rPr>
      </w:pPr>
      <w:r w:rsidRPr="00AB0292">
        <w:rPr>
          <w:rFonts w:ascii="CMBX12" w:hAnsi="CMBX12"/>
          <w:sz w:val="28"/>
          <w:szCs w:val="28"/>
        </w:rPr>
        <w:t>1 Abstract</w:t>
      </w:r>
      <w:r w:rsidR="005B1DD7">
        <w:rPr>
          <w:rFonts w:ascii="CMBX12" w:hAnsi="CMBX12"/>
          <w:sz w:val="28"/>
          <w:szCs w:val="28"/>
        </w:rPr>
        <w:t>s</w:t>
      </w:r>
      <w:r w:rsidR="0061672E">
        <w:rPr>
          <w:rFonts w:ascii="CMBX12" w:hAnsi="CMBX12"/>
          <w:sz w:val="28"/>
          <w:szCs w:val="28"/>
        </w:rPr>
        <w:t>:</w:t>
      </w:r>
    </w:p>
    <w:p w14:paraId="13187907" w14:textId="6441759D" w:rsidR="0061672E" w:rsidRPr="00AB0292" w:rsidRDefault="0061672E" w:rsidP="00AB0292">
      <w:pPr>
        <w:spacing w:before="100" w:beforeAutospacing="1" w:after="100" w:afterAutospacing="1"/>
      </w:pPr>
      <w:r>
        <w:rPr>
          <w:rFonts w:ascii="CMR10" w:hAnsi="CMR10"/>
          <w:sz w:val="22"/>
          <w:szCs w:val="22"/>
        </w:rPr>
        <w:t xml:space="preserve">      </w:t>
      </w:r>
      <w:r w:rsidRPr="00674E4C">
        <w:rPr>
          <w:rFonts w:ascii="CMR10" w:hAnsi="CMR10"/>
          <w:sz w:val="22"/>
          <w:szCs w:val="22"/>
        </w:rPr>
        <w:t>For financial instruments like stocks, volatility is a statistical measure of the degree of variation in their trading price observed over a period of time</w:t>
      </w:r>
      <w:r>
        <w:rPr>
          <w:rFonts w:ascii="CMR10" w:hAnsi="CMR10"/>
          <w:sz w:val="22"/>
          <w:szCs w:val="22"/>
        </w:rPr>
        <w:t>.</w:t>
      </w:r>
      <w:r w:rsidRPr="00674E4C">
        <w:rPr>
          <w:rFonts w:ascii="CMR10" w:hAnsi="CMR10"/>
          <w:sz w:val="22"/>
          <w:szCs w:val="22"/>
        </w:rPr>
        <w:t xml:space="preserve"> Volatility can be measured using two different methods. First is based on performing statistical calculations on the historical prices over a specific time period. This process involves computing various statistical like </w:t>
      </w:r>
      <w:r>
        <w:rPr>
          <w:rFonts w:ascii="CMR10" w:hAnsi="CMR10"/>
          <w:sz w:val="22"/>
          <w:szCs w:val="22"/>
        </w:rPr>
        <w:t>mean, variance</w:t>
      </w:r>
      <w:r w:rsidRPr="00674E4C">
        <w:rPr>
          <w:rFonts w:ascii="CMR10" w:hAnsi="CMR10"/>
          <w:sz w:val="22"/>
          <w:szCs w:val="22"/>
        </w:rPr>
        <w:t xml:space="preserve"> and final</w:t>
      </w:r>
      <w:r>
        <w:rPr>
          <w:rFonts w:ascii="CMR10" w:hAnsi="CMR10"/>
          <w:sz w:val="22"/>
          <w:szCs w:val="22"/>
        </w:rPr>
        <w:t xml:space="preserve"> standard deviation</w:t>
      </w:r>
      <w:r w:rsidRPr="00674E4C">
        <w:rPr>
          <w:rFonts w:ascii="CMR10" w:hAnsi="CMR10"/>
          <w:sz w:val="22"/>
          <w:szCs w:val="22"/>
        </w:rPr>
        <w:t xml:space="preserve"> </w:t>
      </w:r>
      <w:r>
        <w:rPr>
          <w:rFonts w:ascii="CMR10" w:hAnsi="CMR10"/>
          <w:sz w:val="22"/>
          <w:szCs w:val="22"/>
        </w:rPr>
        <w:t>in</w:t>
      </w:r>
      <w:r w:rsidRPr="00674E4C">
        <w:rPr>
          <w:rFonts w:ascii="CMR10" w:hAnsi="CMR10"/>
          <w:sz w:val="22"/>
          <w:szCs w:val="22"/>
        </w:rPr>
        <w:t xml:space="preserve"> the historical price data sets.</w:t>
      </w:r>
    </w:p>
    <w:p w14:paraId="33D0C9B2" w14:textId="77777777" w:rsidR="005B1DD7" w:rsidRPr="005B1DD7" w:rsidRDefault="005B1DD7" w:rsidP="005B1DD7">
      <w:pPr>
        <w:numPr>
          <w:ilvl w:val="0"/>
          <w:numId w:val="1"/>
        </w:numPr>
        <w:shd w:val="clear" w:color="auto" w:fill="FFFFFF"/>
        <w:spacing w:before="100" w:beforeAutospacing="1" w:after="100" w:afterAutospacing="1"/>
        <w:rPr>
          <w:rFonts w:ascii="CMR10" w:hAnsi="CMR10"/>
          <w:sz w:val="22"/>
          <w:szCs w:val="22"/>
        </w:rPr>
      </w:pPr>
      <w:r w:rsidRPr="005B1DD7">
        <w:rPr>
          <w:rFonts w:ascii="CMR10" w:hAnsi="CMR10"/>
          <w:sz w:val="22"/>
          <w:szCs w:val="22"/>
        </w:rPr>
        <w:t>The Volatility Index, or VIX, measures volatility in the stock market.</w:t>
      </w:r>
    </w:p>
    <w:p w14:paraId="6BD68A4D" w14:textId="77777777" w:rsidR="005B1DD7" w:rsidRPr="005B1DD7" w:rsidRDefault="005B1DD7" w:rsidP="005B1DD7">
      <w:pPr>
        <w:numPr>
          <w:ilvl w:val="0"/>
          <w:numId w:val="1"/>
        </w:numPr>
        <w:shd w:val="clear" w:color="auto" w:fill="FFFFFF"/>
        <w:spacing w:before="100" w:beforeAutospacing="1" w:after="100" w:afterAutospacing="1"/>
        <w:rPr>
          <w:rFonts w:ascii="CMR10" w:hAnsi="CMR10"/>
          <w:sz w:val="22"/>
          <w:szCs w:val="22"/>
        </w:rPr>
      </w:pPr>
      <w:r w:rsidRPr="005B1DD7">
        <w:rPr>
          <w:rFonts w:ascii="CMR10" w:hAnsi="CMR10"/>
          <w:sz w:val="22"/>
          <w:szCs w:val="22"/>
        </w:rPr>
        <w:t>When the VIX is low, volatility is low. When the VIX is high volatility is high, which is usually accompanied by market fear.</w:t>
      </w:r>
    </w:p>
    <w:p w14:paraId="2084A79B" w14:textId="77777777" w:rsidR="005B1DD7" w:rsidRPr="005B1DD7" w:rsidRDefault="005B1DD7" w:rsidP="005B1DD7">
      <w:pPr>
        <w:numPr>
          <w:ilvl w:val="0"/>
          <w:numId w:val="1"/>
        </w:numPr>
        <w:shd w:val="clear" w:color="auto" w:fill="FFFFFF"/>
        <w:spacing w:before="100" w:beforeAutospacing="1"/>
        <w:rPr>
          <w:rFonts w:ascii="CMR10" w:hAnsi="CMR10"/>
          <w:sz w:val="22"/>
          <w:szCs w:val="22"/>
        </w:rPr>
      </w:pPr>
      <w:r w:rsidRPr="005B1DD7">
        <w:rPr>
          <w:rFonts w:ascii="CMR10" w:hAnsi="CMR10"/>
          <w:sz w:val="22"/>
          <w:szCs w:val="22"/>
        </w:rPr>
        <w:t>Buying when the VIX is high and selling when it is low is a strategy, but one that needs to be considered against other factors and indicators.</w:t>
      </w:r>
    </w:p>
    <w:p w14:paraId="1FB55B6D" w14:textId="49C205BF" w:rsidR="00AB0292" w:rsidRPr="00AB0292" w:rsidRDefault="00AB0292" w:rsidP="00AB0292">
      <w:pPr>
        <w:spacing w:before="100" w:beforeAutospacing="1" w:after="100" w:afterAutospacing="1"/>
      </w:pPr>
      <w:r w:rsidRPr="00AB0292">
        <w:rPr>
          <w:rFonts w:ascii="CMBX12" w:hAnsi="CMBX12"/>
          <w:sz w:val="28"/>
          <w:szCs w:val="28"/>
        </w:rPr>
        <w:t xml:space="preserve">2 Introduction </w:t>
      </w:r>
    </w:p>
    <w:p w14:paraId="29D29A10" w14:textId="54E1AD52" w:rsidR="005B1DD7" w:rsidRPr="005B1DD7" w:rsidRDefault="005B1DD7" w:rsidP="005B1DD7">
      <w:pPr>
        <w:pStyle w:val="comp"/>
        <w:shd w:val="clear" w:color="auto" w:fill="FFFFFF"/>
        <w:spacing w:before="0" w:beforeAutospacing="0"/>
        <w:rPr>
          <w:rFonts w:ascii="CMR10" w:hAnsi="CMR10"/>
          <w:sz w:val="22"/>
          <w:szCs w:val="22"/>
        </w:rPr>
      </w:pPr>
      <w:r>
        <w:rPr>
          <w:rFonts w:ascii="CMR10" w:hAnsi="CMR10"/>
          <w:sz w:val="22"/>
          <w:szCs w:val="22"/>
        </w:rPr>
        <w:t xml:space="preserve">         </w:t>
      </w:r>
      <w:r w:rsidRPr="005B1DD7">
        <w:rPr>
          <w:rFonts w:ascii="CMR10" w:hAnsi="CMR10"/>
          <w:sz w:val="22"/>
          <w:szCs w:val="22"/>
        </w:rPr>
        <w:t xml:space="preserve">The </w:t>
      </w:r>
      <w:proofErr w:type="spellStart"/>
      <w:r w:rsidRPr="005B1DD7">
        <w:rPr>
          <w:rFonts w:ascii="CMR10" w:hAnsi="CMR10"/>
          <w:sz w:val="22"/>
          <w:szCs w:val="22"/>
        </w:rPr>
        <w:t>Cboe</w:t>
      </w:r>
      <w:proofErr w:type="spellEnd"/>
      <w:r w:rsidRPr="005B1DD7">
        <w:rPr>
          <w:rFonts w:ascii="CMR10" w:hAnsi="CMR10"/>
          <w:sz w:val="22"/>
          <w:szCs w:val="22"/>
        </w:rPr>
        <w:t xml:space="preserve"> Volatility Index (VIX) is a real-time </w:t>
      </w:r>
      <w:hyperlink r:id="rId5" w:history="1">
        <w:r w:rsidRPr="005B1DD7">
          <w:rPr>
            <w:rFonts w:ascii="CMR10" w:hAnsi="CMR10"/>
            <w:sz w:val="22"/>
            <w:szCs w:val="22"/>
          </w:rPr>
          <w:t>index</w:t>
        </w:r>
      </w:hyperlink>
      <w:r w:rsidRPr="005B1DD7">
        <w:rPr>
          <w:rFonts w:ascii="CMR10" w:hAnsi="CMR10"/>
          <w:sz w:val="22"/>
          <w:szCs w:val="22"/>
        </w:rPr>
        <w:t> that represents the market's expectations for the relative strength of near-term price changes of the S&amp;P 500 index (SPX). Because it is derived from the prices of SPX </w:t>
      </w:r>
      <w:hyperlink r:id="rId6" w:history="1">
        <w:r w:rsidRPr="005B1DD7">
          <w:rPr>
            <w:rFonts w:ascii="CMR10" w:hAnsi="CMR10"/>
            <w:sz w:val="22"/>
            <w:szCs w:val="22"/>
          </w:rPr>
          <w:t>index options</w:t>
        </w:r>
      </w:hyperlink>
      <w:r w:rsidRPr="005B1DD7">
        <w:rPr>
          <w:rFonts w:ascii="CMR10" w:hAnsi="CMR10"/>
          <w:sz w:val="22"/>
          <w:szCs w:val="22"/>
        </w:rPr>
        <w:t> with near-term expiration dates, it generates a 30-day forward projection of </w:t>
      </w:r>
      <w:hyperlink r:id="rId7" w:history="1">
        <w:r w:rsidRPr="005B1DD7">
          <w:rPr>
            <w:rFonts w:ascii="CMR10" w:hAnsi="CMR10"/>
            <w:sz w:val="22"/>
            <w:szCs w:val="22"/>
          </w:rPr>
          <w:t>volatility</w:t>
        </w:r>
      </w:hyperlink>
      <w:r w:rsidRPr="005B1DD7">
        <w:rPr>
          <w:rFonts w:ascii="CMR10" w:hAnsi="CMR10"/>
          <w:sz w:val="22"/>
          <w:szCs w:val="22"/>
        </w:rPr>
        <w:t>. Volatility, or how fast prices change, is often seen as a way to gauge market sentiment, and in particular the degree of fear among market participants.</w:t>
      </w:r>
    </w:p>
    <w:p w14:paraId="0F6D0F0A" w14:textId="77777777" w:rsidR="005B1DD7" w:rsidRDefault="005B1DD7" w:rsidP="005B1DD7">
      <w:pPr>
        <w:pStyle w:val="comp"/>
        <w:shd w:val="clear" w:color="auto" w:fill="FFFFFF"/>
        <w:spacing w:before="0" w:beforeAutospacing="0"/>
        <w:rPr>
          <w:rFonts w:ascii="Arial" w:hAnsi="Arial" w:cs="Arial"/>
          <w:color w:val="111111"/>
          <w:sz w:val="26"/>
          <w:szCs w:val="26"/>
        </w:rPr>
      </w:pPr>
      <w:r w:rsidRPr="005B1DD7">
        <w:rPr>
          <w:rFonts w:ascii="CMR10" w:hAnsi="CMR10"/>
          <w:sz w:val="22"/>
          <w:szCs w:val="22"/>
        </w:rPr>
        <w:t>The index is more commonly known by its ticker symbol and is often referred to simply as "the VIX." It was created by the </w:t>
      </w:r>
      <w:hyperlink r:id="rId8" w:history="1">
        <w:r w:rsidRPr="005B1DD7">
          <w:rPr>
            <w:rFonts w:ascii="CMR10" w:hAnsi="CMR10"/>
            <w:sz w:val="22"/>
            <w:szCs w:val="22"/>
          </w:rPr>
          <w:t>Chicago Board Options Exchange</w:t>
        </w:r>
      </w:hyperlink>
      <w:r w:rsidRPr="005B1DD7">
        <w:rPr>
          <w:rFonts w:ascii="CMR10" w:hAnsi="CMR10"/>
          <w:sz w:val="22"/>
          <w:szCs w:val="22"/>
        </w:rPr>
        <w:t xml:space="preserve"> (CBOE) and is maintained by </w:t>
      </w:r>
      <w:proofErr w:type="spellStart"/>
      <w:r w:rsidRPr="005B1DD7">
        <w:rPr>
          <w:rFonts w:ascii="CMR10" w:hAnsi="CMR10"/>
          <w:sz w:val="22"/>
          <w:szCs w:val="22"/>
        </w:rPr>
        <w:t>Cboe</w:t>
      </w:r>
      <w:proofErr w:type="spellEnd"/>
      <w:r w:rsidRPr="005B1DD7">
        <w:rPr>
          <w:rFonts w:ascii="CMR10" w:hAnsi="CMR10"/>
          <w:sz w:val="22"/>
          <w:szCs w:val="22"/>
        </w:rPr>
        <w:t xml:space="preserve"> Global Markets. It is an important index in the world of trading and investment because it provides a quantifiable measure of market risk and investors' sentiments</w:t>
      </w:r>
      <w:r>
        <w:rPr>
          <w:rFonts w:ascii="Arial" w:hAnsi="Arial" w:cs="Arial"/>
          <w:color w:val="111111"/>
          <w:sz w:val="26"/>
          <w:szCs w:val="26"/>
        </w:rPr>
        <w:t>.</w:t>
      </w:r>
    </w:p>
    <w:p w14:paraId="73099C9F" w14:textId="456EEB45" w:rsidR="00AB0292" w:rsidRDefault="00AB0292" w:rsidP="00AB0292">
      <w:pPr>
        <w:spacing w:before="100" w:beforeAutospacing="1" w:after="100" w:afterAutospacing="1"/>
        <w:rPr>
          <w:rFonts w:ascii="CMBX12" w:hAnsi="CMBX12"/>
          <w:sz w:val="28"/>
          <w:szCs w:val="28"/>
        </w:rPr>
      </w:pPr>
      <w:r w:rsidRPr="00AB0292">
        <w:rPr>
          <w:rFonts w:ascii="CMBX12" w:hAnsi="CMBX12"/>
          <w:sz w:val="28"/>
          <w:szCs w:val="28"/>
        </w:rPr>
        <w:t xml:space="preserve">3 </w:t>
      </w:r>
      <w:r w:rsidR="00BA4447">
        <w:rPr>
          <w:rFonts w:ascii="CMBX12" w:hAnsi="CMBX12"/>
          <w:sz w:val="28"/>
          <w:szCs w:val="28"/>
        </w:rPr>
        <w:t>Business problem</w:t>
      </w:r>
    </w:p>
    <w:p w14:paraId="4B448E8E" w14:textId="3E0BB19A" w:rsidR="00BA4447" w:rsidRPr="00BA4447" w:rsidRDefault="00BA4447" w:rsidP="00BA4447">
      <w:pPr>
        <w:spacing w:before="100" w:beforeAutospacing="1" w:after="100" w:afterAutospacing="1"/>
        <w:rPr>
          <w:rFonts w:ascii="CMR10" w:hAnsi="CMR10"/>
          <w:sz w:val="22"/>
          <w:szCs w:val="22"/>
        </w:rPr>
      </w:pPr>
      <w:r>
        <w:rPr>
          <w:rFonts w:ascii="CMR10" w:hAnsi="CMR10"/>
          <w:sz w:val="22"/>
          <w:szCs w:val="22"/>
        </w:rPr>
        <w:t xml:space="preserve">       </w:t>
      </w:r>
      <w:r w:rsidRPr="00BA4447">
        <w:rPr>
          <w:rFonts w:ascii="CMR10" w:hAnsi="CMR10"/>
          <w:sz w:val="22"/>
          <w:szCs w:val="22"/>
        </w:rPr>
        <w:t xml:space="preserve">For </w:t>
      </w:r>
      <w:r>
        <w:rPr>
          <w:rFonts w:ascii="CMR10" w:hAnsi="CMR10"/>
          <w:sz w:val="22"/>
          <w:szCs w:val="22"/>
        </w:rPr>
        <w:t xml:space="preserve">Option </w:t>
      </w:r>
      <w:r w:rsidRPr="00BA4447">
        <w:rPr>
          <w:rFonts w:ascii="CMR10" w:hAnsi="CMR10"/>
          <w:sz w:val="22"/>
          <w:szCs w:val="22"/>
        </w:rPr>
        <w:t>traders</w:t>
      </w:r>
      <w:r>
        <w:rPr>
          <w:rFonts w:ascii="CMR10" w:hAnsi="CMR10"/>
          <w:sz w:val="22"/>
          <w:szCs w:val="22"/>
        </w:rPr>
        <w:t xml:space="preserve">, few important strategies are involved correctly predicting the stock price movement within a specific range.  Credit spreads or Iron condors are such strategy where it is very important to estimate stock price movement to place trade.  Now to predict that VIX could be one of such </w:t>
      </w:r>
      <w:proofErr w:type="gramStart"/>
      <w:r>
        <w:rPr>
          <w:rFonts w:ascii="CMR10" w:hAnsi="CMR10"/>
          <w:sz w:val="22"/>
          <w:szCs w:val="22"/>
        </w:rPr>
        <w:t>indicator</w:t>
      </w:r>
      <w:proofErr w:type="gramEnd"/>
      <w:r>
        <w:rPr>
          <w:rFonts w:ascii="CMR10" w:hAnsi="CMR10"/>
          <w:sz w:val="22"/>
          <w:szCs w:val="22"/>
        </w:rPr>
        <w:t xml:space="preserve"> as based on average market fear index.  As various stock price behaves </w:t>
      </w:r>
      <w:proofErr w:type="gramStart"/>
      <w:r>
        <w:rPr>
          <w:rFonts w:ascii="CMR10" w:hAnsi="CMR10"/>
          <w:sz w:val="22"/>
          <w:szCs w:val="22"/>
        </w:rPr>
        <w:t>differently ,</w:t>
      </w:r>
      <w:proofErr w:type="gramEnd"/>
      <w:r>
        <w:rPr>
          <w:rFonts w:ascii="CMR10" w:hAnsi="CMR10"/>
          <w:sz w:val="22"/>
          <w:szCs w:val="22"/>
        </w:rPr>
        <w:t xml:space="preserve"> I would like to calculate percentage of change stock based on overall market volatility.</w:t>
      </w:r>
    </w:p>
    <w:p w14:paraId="320C6000" w14:textId="73BCB4D7" w:rsidR="00BA4447" w:rsidRDefault="00BA4447" w:rsidP="00AB0292">
      <w:pPr>
        <w:spacing w:before="100" w:beforeAutospacing="1" w:after="100" w:afterAutospacing="1"/>
      </w:pPr>
    </w:p>
    <w:p w14:paraId="29728169" w14:textId="77777777" w:rsidR="00FF194B" w:rsidRPr="00AB0292" w:rsidRDefault="00FF194B" w:rsidP="00AB0292">
      <w:pPr>
        <w:spacing w:before="100" w:beforeAutospacing="1" w:after="100" w:afterAutospacing="1"/>
      </w:pPr>
    </w:p>
    <w:p w14:paraId="39E9CDBE" w14:textId="28DB62CD" w:rsidR="00AB0292" w:rsidRDefault="00AB0292" w:rsidP="00AB0292">
      <w:pPr>
        <w:spacing w:before="100" w:beforeAutospacing="1" w:after="100" w:afterAutospacing="1"/>
        <w:rPr>
          <w:rFonts w:ascii="CMBX12" w:hAnsi="CMBX12"/>
          <w:sz w:val="28"/>
          <w:szCs w:val="28"/>
        </w:rPr>
      </w:pPr>
      <w:r w:rsidRPr="00AB0292">
        <w:rPr>
          <w:rFonts w:ascii="CMBX12" w:hAnsi="CMBX12"/>
          <w:sz w:val="28"/>
          <w:szCs w:val="28"/>
        </w:rPr>
        <w:lastRenderedPageBreak/>
        <w:t xml:space="preserve">5 Methods </w:t>
      </w:r>
    </w:p>
    <w:p w14:paraId="036A1B28" w14:textId="335BBF6D" w:rsidR="00FF194B" w:rsidRPr="00FF194B" w:rsidRDefault="00FF194B" w:rsidP="00FF194B">
      <w:pPr>
        <w:pStyle w:val="ListParagraph"/>
        <w:numPr>
          <w:ilvl w:val="0"/>
          <w:numId w:val="2"/>
        </w:numPr>
        <w:spacing w:before="100" w:beforeAutospacing="1" w:after="100" w:afterAutospacing="1"/>
        <w:rPr>
          <w:rFonts w:ascii="CMR10" w:hAnsi="CMR10"/>
          <w:sz w:val="22"/>
          <w:szCs w:val="22"/>
        </w:rPr>
      </w:pPr>
      <w:r w:rsidRPr="00FF194B">
        <w:rPr>
          <w:rFonts w:ascii="CMR10" w:hAnsi="CMR10"/>
          <w:sz w:val="22"/>
          <w:szCs w:val="22"/>
        </w:rPr>
        <w:t>Stock price historical price will be stored from yahoo finance.</w:t>
      </w:r>
    </w:p>
    <w:p w14:paraId="61CB962E" w14:textId="1305AC35" w:rsidR="00FF194B" w:rsidRPr="00FF194B" w:rsidRDefault="00FF194B" w:rsidP="00FF194B">
      <w:pPr>
        <w:pStyle w:val="ListParagraph"/>
        <w:numPr>
          <w:ilvl w:val="0"/>
          <w:numId w:val="2"/>
        </w:numPr>
        <w:spacing w:before="100" w:beforeAutospacing="1" w:after="100" w:afterAutospacing="1"/>
        <w:rPr>
          <w:rFonts w:ascii="CMR10" w:hAnsi="CMR10"/>
          <w:sz w:val="22"/>
          <w:szCs w:val="22"/>
        </w:rPr>
      </w:pPr>
      <w:r w:rsidRPr="00FF194B">
        <w:rPr>
          <w:rFonts w:ascii="CMR10" w:hAnsi="CMR10"/>
          <w:sz w:val="22"/>
          <w:szCs w:val="22"/>
        </w:rPr>
        <w:t xml:space="preserve">VIX </w:t>
      </w:r>
      <w:proofErr w:type="spellStart"/>
      <w:r w:rsidRPr="00FF194B">
        <w:rPr>
          <w:rFonts w:ascii="CMR10" w:hAnsi="CMR10"/>
          <w:sz w:val="22"/>
          <w:szCs w:val="22"/>
        </w:rPr>
        <w:t>historial</w:t>
      </w:r>
      <w:proofErr w:type="spellEnd"/>
      <w:r w:rsidRPr="00FF194B">
        <w:rPr>
          <w:rFonts w:ascii="CMR10" w:hAnsi="CMR10"/>
          <w:sz w:val="22"/>
          <w:szCs w:val="22"/>
        </w:rPr>
        <w:t xml:space="preserve"> price will be saved from same source.</w:t>
      </w:r>
    </w:p>
    <w:p w14:paraId="5BAC285F" w14:textId="5EF22DF1" w:rsidR="00FF194B" w:rsidRPr="00FF194B" w:rsidRDefault="00FF194B" w:rsidP="00FF194B">
      <w:pPr>
        <w:pStyle w:val="ListParagraph"/>
        <w:numPr>
          <w:ilvl w:val="0"/>
          <w:numId w:val="2"/>
        </w:numPr>
        <w:spacing w:before="100" w:beforeAutospacing="1" w:after="100" w:afterAutospacing="1"/>
        <w:rPr>
          <w:rFonts w:ascii="CMR10" w:hAnsi="CMR10"/>
          <w:sz w:val="22"/>
          <w:szCs w:val="22"/>
        </w:rPr>
      </w:pPr>
      <w:r w:rsidRPr="00FF194B">
        <w:rPr>
          <w:rFonts w:ascii="CMR10" w:hAnsi="CMR10"/>
          <w:sz w:val="22"/>
          <w:szCs w:val="22"/>
        </w:rPr>
        <w:t>Calculate stock price change in every week</w:t>
      </w:r>
      <w:r>
        <w:rPr>
          <w:rFonts w:ascii="CMR10" w:hAnsi="CMR10"/>
          <w:sz w:val="22"/>
          <w:szCs w:val="22"/>
        </w:rPr>
        <w:t xml:space="preserve"> and create an array</w:t>
      </w:r>
    </w:p>
    <w:p w14:paraId="07B1A596" w14:textId="29B642B6" w:rsidR="00FF194B" w:rsidRDefault="00FF194B" w:rsidP="00FF194B">
      <w:pPr>
        <w:pStyle w:val="ListParagraph"/>
        <w:numPr>
          <w:ilvl w:val="0"/>
          <w:numId w:val="2"/>
        </w:numPr>
        <w:spacing w:before="100" w:beforeAutospacing="1" w:after="100" w:afterAutospacing="1"/>
        <w:rPr>
          <w:rFonts w:ascii="CMR10" w:hAnsi="CMR10"/>
          <w:sz w:val="22"/>
          <w:szCs w:val="22"/>
        </w:rPr>
      </w:pPr>
      <w:r w:rsidRPr="00FF194B">
        <w:rPr>
          <w:rFonts w:ascii="CMR10" w:hAnsi="CMR10"/>
          <w:sz w:val="22"/>
          <w:szCs w:val="22"/>
        </w:rPr>
        <w:t xml:space="preserve">Create </w:t>
      </w:r>
      <w:r>
        <w:rPr>
          <w:rFonts w:ascii="CMR10" w:hAnsi="CMR10"/>
          <w:sz w:val="22"/>
          <w:szCs w:val="22"/>
        </w:rPr>
        <w:t>array VIX price.</w:t>
      </w:r>
    </w:p>
    <w:p w14:paraId="502A026E" w14:textId="1E70B07A" w:rsidR="00FF194B" w:rsidRDefault="00FF194B" w:rsidP="00FF194B">
      <w:pPr>
        <w:pStyle w:val="ListParagraph"/>
        <w:numPr>
          <w:ilvl w:val="0"/>
          <w:numId w:val="2"/>
        </w:numPr>
        <w:spacing w:before="100" w:beforeAutospacing="1" w:after="100" w:afterAutospacing="1"/>
        <w:rPr>
          <w:rFonts w:ascii="CMR10" w:hAnsi="CMR10"/>
          <w:sz w:val="22"/>
          <w:szCs w:val="22"/>
        </w:rPr>
      </w:pPr>
      <w:r>
        <w:rPr>
          <w:rFonts w:ascii="CMR10" w:hAnsi="CMR10"/>
          <w:sz w:val="22"/>
          <w:szCs w:val="22"/>
        </w:rPr>
        <w:t>Apply linear regression model to fit the training set.</w:t>
      </w:r>
    </w:p>
    <w:p w14:paraId="303D0555" w14:textId="58B4B626" w:rsidR="00FF194B" w:rsidRPr="00FF194B" w:rsidRDefault="00FF194B" w:rsidP="00FF194B">
      <w:pPr>
        <w:pStyle w:val="ListParagraph"/>
        <w:numPr>
          <w:ilvl w:val="0"/>
          <w:numId w:val="2"/>
        </w:numPr>
        <w:spacing w:before="100" w:beforeAutospacing="1" w:after="100" w:afterAutospacing="1"/>
        <w:rPr>
          <w:rFonts w:ascii="CMR10" w:hAnsi="CMR10"/>
          <w:sz w:val="22"/>
          <w:szCs w:val="22"/>
        </w:rPr>
      </w:pPr>
      <w:r>
        <w:rPr>
          <w:rFonts w:ascii="CMR10" w:hAnsi="CMR10"/>
          <w:sz w:val="22"/>
          <w:szCs w:val="22"/>
        </w:rPr>
        <w:t>Calculate accuracy between actual value and predicted value.</w:t>
      </w:r>
    </w:p>
    <w:p w14:paraId="5F0209F5" w14:textId="6C44D910" w:rsidR="00FF194B" w:rsidRDefault="00FF194B" w:rsidP="00AB0292">
      <w:pPr>
        <w:spacing w:before="100" w:beforeAutospacing="1" w:after="100" w:afterAutospacing="1"/>
        <w:rPr>
          <w:rFonts w:ascii="CMBX12" w:hAnsi="CMBX12"/>
          <w:sz w:val="28"/>
          <w:szCs w:val="28"/>
        </w:rPr>
      </w:pPr>
    </w:p>
    <w:p w14:paraId="28482B95" w14:textId="77777777" w:rsidR="00FF194B" w:rsidRPr="00AB0292" w:rsidRDefault="00FF194B" w:rsidP="00AB0292">
      <w:pPr>
        <w:spacing w:before="100" w:beforeAutospacing="1" w:after="100" w:afterAutospacing="1"/>
      </w:pPr>
    </w:p>
    <w:p w14:paraId="22AC75F1" w14:textId="373FB0E6" w:rsidR="00AB0292" w:rsidRDefault="00AB0292" w:rsidP="00AB0292">
      <w:pPr>
        <w:spacing w:before="100" w:beforeAutospacing="1" w:after="100" w:afterAutospacing="1"/>
        <w:rPr>
          <w:rFonts w:ascii="CMBX12" w:hAnsi="CMBX12"/>
          <w:sz w:val="28"/>
          <w:szCs w:val="28"/>
        </w:rPr>
      </w:pPr>
      <w:r w:rsidRPr="00AB0292">
        <w:rPr>
          <w:rFonts w:ascii="CMBX12" w:hAnsi="CMBX12"/>
          <w:sz w:val="28"/>
          <w:szCs w:val="28"/>
        </w:rPr>
        <w:t>6 Experiments/Results/Discussion</w:t>
      </w:r>
      <w:r w:rsidR="004247D4">
        <w:rPr>
          <w:rFonts w:ascii="CMBX12" w:hAnsi="CMBX12"/>
          <w:sz w:val="28"/>
          <w:szCs w:val="28"/>
        </w:rPr>
        <w:t xml:space="preserve"> –</w:t>
      </w:r>
    </w:p>
    <w:p w14:paraId="2118DB4A" w14:textId="696E94B1" w:rsidR="004247D4" w:rsidRPr="004247D4" w:rsidRDefault="004247D4" w:rsidP="00AB0292">
      <w:pPr>
        <w:spacing w:before="100" w:beforeAutospacing="1" w:after="100" w:afterAutospacing="1"/>
        <w:rPr>
          <w:rFonts w:ascii="CMR10" w:hAnsi="CMR10"/>
          <w:sz w:val="22"/>
          <w:szCs w:val="22"/>
        </w:rPr>
      </w:pPr>
      <w:r w:rsidRPr="004247D4">
        <w:rPr>
          <w:rFonts w:ascii="CMR10" w:hAnsi="CMR10"/>
          <w:sz w:val="22"/>
          <w:szCs w:val="22"/>
        </w:rPr>
        <w:t>Initial result diagram looks like this –</w:t>
      </w:r>
    </w:p>
    <w:p w14:paraId="5649E88D" w14:textId="2890C0EC" w:rsidR="004247D4" w:rsidRDefault="004247D4" w:rsidP="00AB0292">
      <w:pPr>
        <w:spacing w:before="100" w:beforeAutospacing="1" w:after="100" w:afterAutospacing="1"/>
        <w:rPr>
          <w:rFonts w:ascii="CMBX12" w:hAnsi="CMBX12"/>
          <w:sz w:val="28"/>
          <w:szCs w:val="28"/>
        </w:rPr>
      </w:pPr>
      <w:r>
        <w:rPr>
          <w:rFonts w:ascii="CMBX12" w:hAnsi="CMBX12"/>
          <w:noProof/>
          <w:sz w:val="28"/>
          <w:szCs w:val="28"/>
        </w:rPr>
        <w:drawing>
          <wp:inline distT="0" distB="0" distL="0" distR="0" wp14:anchorId="5445F0D4" wp14:editId="6E4AB738">
            <wp:extent cx="5943600" cy="362204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14:paraId="367D3A4A" w14:textId="7D31EBB7" w:rsidR="004247D4" w:rsidRDefault="004247D4" w:rsidP="00AB0292">
      <w:pPr>
        <w:spacing w:before="100" w:beforeAutospacing="1" w:after="100" w:afterAutospacing="1"/>
        <w:rPr>
          <w:rFonts w:ascii="CMBX12" w:hAnsi="CMBX12"/>
          <w:sz w:val="28"/>
          <w:szCs w:val="28"/>
        </w:rPr>
      </w:pPr>
    </w:p>
    <w:p w14:paraId="7F2CCC94" w14:textId="66D4BC89" w:rsidR="004247D4" w:rsidRDefault="004247D4" w:rsidP="00AB0292">
      <w:pPr>
        <w:spacing w:before="100" w:beforeAutospacing="1" w:after="100" w:afterAutospacing="1"/>
      </w:pPr>
    </w:p>
    <w:p w14:paraId="0A51C54A" w14:textId="7E0A6279" w:rsidR="00552258" w:rsidRDefault="00552258" w:rsidP="00AB0292">
      <w:pPr>
        <w:spacing w:before="100" w:beforeAutospacing="1" w:after="100" w:afterAutospacing="1"/>
      </w:pPr>
    </w:p>
    <w:p w14:paraId="6F70BDCE" w14:textId="77777777" w:rsidR="00552258" w:rsidRPr="00AB0292" w:rsidRDefault="00552258" w:rsidP="00AB0292">
      <w:pPr>
        <w:spacing w:before="100" w:beforeAutospacing="1" w:after="100" w:afterAutospacing="1"/>
      </w:pPr>
    </w:p>
    <w:p w14:paraId="2F993B33" w14:textId="48AC04D5" w:rsidR="00AB0292" w:rsidRDefault="00AB0292" w:rsidP="007240EF">
      <w:pPr>
        <w:spacing w:before="100" w:beforeAutospacing="1" w:after="100" w:afterAutospacing="1"/>
        <w:rPr>
          <w:rFonts w:ascii="CMBX12" w:hAnsi="CMBX12"/>
          <w:sz w:val="28"/>
          <w:szCs w:val="28"/>
        </w:rPr>
      </w:pPr>
      <w:r w:rsidRPr="00AB0292">
        <w:rPr>
          <w:rFonts w:ascii="CMBX12" w:hAnsi="CMBX12"/>
          <w:sz w:val="28"/>
          <w:szCs w:val="28"/>
        </w:rPr>
        <w:lastRenderedPageBreak/>
        <w:t>7 Conclusion/Future Work</w:t>
      </w:r>
      <w:r w:rsidR="008D2F3D">
        <w:rPr>
          <w:rFonts w:ascii="CMBX12" w:hAnsi="CMBX12"/>
          <w:sz w:val="28"/>
          <w:szCs w:val="28"/>
        </w:rPr>
        <w:t>.</w:t>
      </w:r>
    </w:p>
    <w:p w14:paraId="43C258C9" w14:textId="32229A79" w:rsidR="008D2F3D" w:rsidRPr="008D2F3D" w:rsidRDefault="008D2F3D" w:rsidP="007240EF">
      <w:pPr>
        <w:spacing w:before="100" w:beforeAutospacing="1" w:after="100" w:afterAutospacing="1"/>
        <w:rPr>
          <w:rFonts w:ascii="CMR10" w:hAnsi="CMR10"/>
          <w:sz w:val="22"/>
          <w:szCs w:val="22"/>
        </w:rPr>
      </w:pPr>
      <w:r w:rsidRPr="008D2F3D">
        <w:rPr>
          <w:rFonts w:ascii="CMR10" w:hAnsi="CMR10"/>
          <w:sz w:val="22"/>
          <w:szCs w:val="22"/>
        </w:rPr>
        <w:t xml:space="preserve">Using linear regression, we are able to find out a linear relationship between current </w:t>
      </w:r>
      <w:proofErr w:type="spellStart"/>
      <w:r w:rsidRPr="008D2F3D">
        <w:rPr>
          <w:rFonts w:ascii="CMR10" w:hAnsi="CMR10"/>
          <w:sz w:val="22"/>
          <w:szCs w:val="22"/>
        </w:rPr>
        <w:t>vix</w:t>
      </w:r>
      <w:proofErr w:type="spellEnd"/>
      <w:r w:rsidRPr="008D2F3D">
        <w:rPr>
          <w:rFonts w:ascii="CMR10" w:hAnsi="CMR10"/>
          <w:sz w:val="22"/>
          <w:szCs w:val="22"/>
        </w:rPr>
        <w:t xml:space="preserve"> price vs percentage of stock price changes. In this diagram amazon stock prices are being used. In the next steps , various other stock prices will be taken into consideration. </w:t>
      </w:r>
    </w:p>
    <w:p w14:paraId="6A129B17" w14:textId="77777777" w:rsidR="00552258" w:rsidRPr="00AB0292" w:rsidRDefault="00552258" w:rsidP="007240EF">
      <w:pPr>
        <w:spacing w:before="100" w:beforeAutospacing="1" w:after="100" w:afterAutospacing="1"/>
      </w:pPr>
    </w:p>
    <w:p w14:paraId="2480DFA8" w14:textId="532E7FCC" w:rsidR="00AB0292" w:rsidRDefault="00AB0292" w:rsidP="00AB0292">
      <w:pPr>
        <w:spacing w:before="100" w:beforeAutospacing="1" w:after="100" w:afterAutospacing="1"/>
        <w:rPr>
          <w:rFonts w:ascii="CMBX12" w:hAnsi="CMBX12"/>
          <w:sz w:val="28"/>
          <w:szCs w:val="28"/>
        </w:rPr>
      </w:pPr>
      <w:r w:rsidRPr="00AB0292">
        <w:rPr>
          <w:rFonts w:ascii="CMBX12" w:hAnsi="CMBX12"/>
          <w:sz w:val="28"/>
          <w:szCs w:val="28"/>
        </w:rPr>
        <w:t xml:space="preserve">8 Appendices </w:t>
      </w:r>
    </w:p>
    <w:p w14:paraId="40F2DE88" w14:textId="56331FEA" w:rsidR="00552258" w:rsidRDefault="00552258" w:rsidP="00552258">
      <w:pPr>
        <w:rPr>
          <w:rFonts w:ascii="CMR10" w:hAnsi="CMR10"/>
          <w:sz w:val="22"/>
          <w:szCs w:val="22"/>
        </w:rPr>
      </w:pPr>
      <w:r w:rsidRPr="00552258">
        <w:rPr>
          <w:rFonts w:ascii="CMR10" w:hAnsi="CMR10"/>
          <w:b/>
          <w:bCs/>
          <w:sz w:val="22"/>
          <w:szCs w:val="22"/>
        </w:rPr>
        <w:t>Iron condor</w:t>
      </w:r>
      <w:r w:rsidRPr="00552258">
        <w:rPr>
          <w:rFonts w:ascii="CMR10" w:hAnsi="CMR10"/>
          <w:sz w:val="22"/>
          <w:szCs w:val="22"/>
        </w:rPr>
        <w:t xml:space="preserve"> - The iron condor option strategy is one of the best ways for an option trader to profit from an insignificant move in the price of an underlying asset. Many traders believe that a significant move upward or downward is needed for them to make a profit.</w:t>
      </w:r>
    </w:p>
    <w:p w14:paraId="025C2E27" w14:textId="25632EFD" w:rsidR="00552258" w:rsidRDefault="00552258" w:rsidP="00552258">
      <w:pPr>
        <w:rPr>
          <w:rFonts w:ascii="CMR10" w:hAnsi="CMR10"/>
          <w:sz w:val="22"/>
          <w:szCs w:val="22"/>
        </w:rPr>
      </w:pPr>
    </w:p>
    <w:p w14:paraId="690E68D1" w14:textId="51D1329A" w:rsidR="00552258" w:rsidRPr="00552258" w:rsidRDefault="00552258" w:rsidP="00552258">
      <w:pPr>
        <w:rPr>
          <w:rFonts w:ascii="CMR10" w:hAnsi="CMR10"/>
          <w:b/>
          <w:bCs/>
          <w:sz w:val="22"/>
          <w:szCs w:val="22"/>
        </w:rPr>
      </w:pPr>
      <w:r w:rsidRPr="00552258">
        <w:rPr>
          <w:rFonts w:ascii="CMR10" w:hAnsi="CMR10"/>
          <w:b/>
          <w:bCs/>
          <w:sz w:val="22"/>
          <w:szCs w:val="22"/>
        </w:rPr>
        <w:t>Credit spread -</w:t>
      </w:r>
    </w:p>
    <w:p w14:paraId="50645C17" w14:textId="2CB9F47E" w:rsidR="00552258" w:rsidRPr="00552258" w:rsidRDefault="00552258" w:rsidP="00552258">
      <w:pPr>
        <w:rPr>
          <w:rFonts w:ascii="CMR10" w:hAnsi="CMR10"/>
          <w:sz w:val="22"/>
          <w:szCs w:val="22"/>
        </w:rPr>
      </w:pPr>
      <w:r>
        <w:rPr>
          <w:rFonts w:ascii="CMR10" w:hAnsi="CMR10"/>
          <w:sz w:val="22"/>
          <w:szCs w:val="22"/>
        </w:rPr>
        <w:t xml:space="preserve">              </w:t>
      </w:r>
      <w:r w:rsidRPr="00552258">
        <w:rPr>
          <w:rFonts w:ascii="CMR10" w:hAnsi="CMR10"/>
          <w:sz w:val="22"/>
          <w:szCs w:val="22"/>
        </w:rPr>
        <w:t>A credit spread is essential</w:t>
      </w:r>
      <w:r>
        <w:rPr>
          <w:rFonts w:ascii="CMR10" w:hAnsi="CMR10"/>
          <w:sz w:val="22"/>
          <w:szCs w:val="22"/>
        </w:rPr>
        <w:t>ly an option selling strategy which</w:t>
      </w:r>
      <w:r w:rsidRPr="00552258">
        <w:rPr>
          <w:rFonts w:ascii="CMR10" w:hAnsi="CMR10"/>
          <w:sz w:val="22"/>
          <w:szCs w:val="22"/>
        </w:rPr>
        <w:t xml:space="preserve"> allow investors to take advantage of the time premium and </w:t>
      </w:r>
      <w:hyperlink r:id="rId10" w:history="1">
        <w:r w:rsidRPr="00552258">
          <w:rPr>
            <w:rFonts w:ascii="CMR10" w:hAnsi="CMR10"/>
            <w:sz w:val="22"/>
            <w:szCs w:val="22"/>
          </w:rPr>
          <w:t>implied volatility</w:t>
        </w:r>
      </w:hyperlink>
      <w:r w:rsidRPr="00552258">
        <w:rPr>
          <w:rFonts w:ascii="CMR10" w:hAnsi="CMR10"/>
          <w:sz w:val="22"/>
          <w:szCs w:val="22"/>
        </w:rPr>
        <w:t> that are inherent in options. The credit spread is created by buying a far </w:t>
      </w:r>
      <w:hyperlink r:id="rId11" w:history="1">
        <w:r w:rsidRPr="00552258">
          <w:rPr>
            <w:rFonts w:ascii="CMR10" w:hAnsi="CMR10"/>
            <w:sz w:val="22"/>
            <w:szCs w:val="22"/>
          </w:rPr>
          <w:t>out-of-the-money</w:t>
        </w:r>
      </w:hyperlink>
      <w:r w:rsidRPr="00552258">
        <w:rPr>
          <w:rFonts w:ascii="CMR10" w:hAnsi="CMR10"/>
          <w:sz w:val="22"/>
          <w:szCs w:val="22"/>
        </w:rPr>
        <w:t> (OTM) option and selling a nearer, more expensive option. This creates the credit, with the hope that both options expire worthless, allowing you to keep that credit. As long as the underlying does not cross over the strike price of the closer option, you get to keep the full credit.</w:t>
      </w:r>
    </w:p>
    <w:p w14:paraId="45BEF9B5" w14:textId="194EE575" w:rsidR="00847137" w:rsidRPr="00847137" w:rsidRDefault="009D3EA6" w:rsidP="00AB0292">
      <w:pPr>
        <w:spacing w:before="100" w:beforeAutospacing="1" w:after="100" w:afterAutospacing="1"/>
        <w:rPr>
          <w:rFonts w:ascii="CMR10" w:hAnsi="CMR10"/>
          <w:sz w:val="22"/>
          <w:szCs w:val="22"/>
        </w:rPr>
      </w:pPr>
      <w:r w:rsidRPr="009D3EA6">
        <w:rPr>
          <w:rFonts w:ascii="CMR10" w:hAnsi="CMR10"/>
          <w:b/>
          <w:bCs/>
          <w:sz w:val="22"/>
          <w:szCs w:val="22"/>
        </w:rPr>
        <w:t xml:space="preserve">Linear regression </w:t>
      </w:r>
      <w:r w:rsidR="00847137" w:rsidRPr="00847137">
        <w:rPr>
          <w:rFonts w:ascii="CMR10" w:hAnsi="CMR10"/>
          <w:sz w:val="22"/>
          <w:szCs w:val="22"/>
        </w:rPr>
        <w:t xml:space="preserve">– Linear regression attempts to model the relationship between two variables by fitting a linear equation to observed data. ... A linear regression line has an equation of the form Y = a + </w:t>
      </w:r>
      <w:proofErr w:type="spellStart"/>
      <w:r w:rsidR="00847137" w:rsidRPr="00847137">
        <w:rPr>
          <w:rFonts w:ascii="CMR10" w:hAnsi="CMR10"/>
          <w:sz w:val="22"/>
          <w:szCs w:val="22"/>
        </w:rPr>
        <w:t>bX</w:t>
      </w:r>
      <w:proofErr w:type="spellEnd"/>
      <w:r w:rsidR="00847137" w:rsidRPr="00847137">
        <w:rPr>
          <w:rFonts w:ascii="CMR10" w:hAnsi="CMR10"/>
          <w:sz w:val="22"/>
          <w:szCs w:val="22"/>
        </w:rPr>
        <w:t>, where X is the explanatory variable and Y is the dependent variable.</w:t>
      </w:r>
    </w:p>
    <w:p w14:paraId="48DE0C1A" w14:textId="13520410" w:rsidR="00847137" w:rsidRPr="00847137" w:rsidRDefault="00847137" w:rsidP="00AB0292">
      <w:pPr>
        <w:spacing w:before="100" w:beforeAutospacing="1" w:after="100" w:afterAutospacing="1"/>
        <w:rPr>
          <w:rFonts w:ascii="CMR10" w:hAnsi="CMR10"/>
          <w:sz w:val="22"/>
          <w:szCs w:val="22"/>
        </w:rPr>
      </w:pPr>
      <w:r>
        <w:rPr>
          <w:rFonts w:ascii="CMR10" w:hAnsi="CMR10"/>
          <w:b/>
          <w:bCs/>
          <w:sz w:val="22"/>
          <w:szCs w:val="22"/>
        </w:rPr>
        <w:t xml:space="preserve">Sci-kit learn </w:t>
      </w:r>
      <w:r w:rsidRPr="00847137">
        <w:rPr>
          <w:rFonts w:ascii="CMR10" w:hAnsi="CMR10"/>
          <w:sz w:val="22"/>
          <w:szCs w:val="22"/>
        </w:rPr>
        <w:t xml:space="preserve">- Scikit-learn (formerly </w:t>
      </w:r>
      <w:proofErr w:type="spellStart"/>
      <w:proofErr w:type="gramStart"/>
      <w:r w:rsidRPr="00847137">
        <w:rPr>
          <w:rFonts w:ascii="CMR10" w:hAnsi="CMR10"/>
          <w:sz w:val="22"/>
          <w:szCs w:val="22"/>
        </w:rPr>
        <w:t>scikits.learn</w:t>
      </w:r>
      <w:proofErr w:type="spellEnd"/>
      <w:proofErr w:type="gramEnd"/>
      <w:r w:rsidRPr="00847137">
        <w:rPr>
          <w:rFonts w:ascii="CMR10" w:hAnsi="CMR10"/>
          <w:sz w:val="22"/>
          <w:szCs w:val="22"/>
        </w:rPr>
        <w:t xml:space="preserve"> and also known as </w:t>
      </w:r>
      <w:proofErr w:type="spellStart"/>
      <w:r w:rsidRPr="00847137">
        <w:rPr>
          <w:rFonts w:ascii="CMR10" w:hAnsi="CMR10"/>
          <w:sz w:val="22"/>
          <w:szCs w:val="22"/>
        </w:rPr>
        <w:t>sklearn</w:t>
      </w:r>
      <w:proofErr w:type="spellEnd"/>
      <w:r w:rsidRPr="00847137">
        <w:rPr>
          <w:rFonts w:ascii="CMR10" w:hAnsi="CMR10"/>
          <w:sz w:val="22"/>
          <w:szCs w:val="22"/>
        </w:rPr>
        <w:t>) is a free software machine learning library for the Python programming language.[3] It features various classification, regression and clustering algorithms including support vector machines, random forests, gradient boosting, k-means</w:t>
      </w:r>
    </w:p>
    <w:p w14:paraId="41E59A4F" w14:textId="1783E95B" w:rsidR="00AB0292" w:rsidRDefault="00A91F52" w:rsidP="00AB0292">
      <w:pPr>
        <w:spacing w:before="100" w:beforeAutospacing="1" w:after="100" w:afterAutospacing="1"/>
        <w:rPr>
          <w:rFonts w:ascii="CMBX12" w:hAnsi="CMBX12"/>
          <w:sz w:val="28"/>
          <w:szCs w:val="28"/>
        </w:rPr>
      </w:pPr>
      <w:r>
        <w:rPr>
          <w:rFonts w:ascii="CMBX12" w:hAnsi="CMBX12"/>
          <w:sz w:val="28"/>
          <w:szCs w:val="28"/>
        </w:rPr>
        <w:t>9</w:t>
      </w:r>
      <w:r w:rsidR="00AB0292" w:rsidRPr="00AB0292">
        <w:rPr>
          <w:rFonts w:ascii="CMBX12" w:hAnsi="CMBX12"/>
          <w:sz w:val="28"/>
          <w:szCs w:val="28"/>
        </w:rPr>
        <w:t xml:space="preserve"> References/Bibliography</w:t>
      </w:r>
      <w:r w:rsidR="004E1471">
        <w:rPr>
          <w:rFonts w:ascii="CMBX12" w:hAnsi="CMBX12"/>
          <w:sz w:val="28"/>
          <w:szCs w:val="28"/>
        </w:rPr>
        <w:t>-</w:t>
      </w:r>
    </w:p>
    <w:p w14:paraId="0948610A" w14:textId="70E973F5" w:rsidR="007F251A" w:rsidRDefault="00D46828" w:rsidP="007F251A">
      <w:pPr>
        <w:pStyle w:val="ListParagraph"/>
        <w:numPr>
          <w:ilvl w:val="0"/>
          <w:numId w:val="3"/>
        </w:numPr>
        <w:spacing w:before="100" w:beforeAutospacing="1" w:after="100" w:afterAutospacing="1"/>
      </w:pPr>
      <w:hyperlink r:id="rId12" w:history="1">
        <w:r w:rsidR="007F251A" w:rsidRPr="007B1096">
          <w:rPr>
            <w:rStyle w:val="Hyperlink"/>
          </w:rPr>
          <w:t>https://www.investopedia.com/articles/optioninvestor/06/ironcondor.asp</w:t>
        </w:r>
      </w:hyperlink>
    </w:p>
    <w:p w14:paraId="007C5351" w14:textId="614992FF" w:rsidR="007F251A" w:rsidRDefault="00D46828" w:rsidP="007F251A">
      <w:pPr>
        <w:pStyle w:val="ListParagraph"/>
        <w:numPr>
          <w:ilvl w:val="0"/>
          <w:numId w:val="3"/>
        </w:numPr>
        <w:spacing w:before="100" w:beforeAutospacing="1" w:after="100" w:afterAutospacing="1"/>
      </w:pPr>
      <w:hyperlink r:id="rId13" w:history="1">
        <w:r w:rsidR="00617947" w:rsidRPr="007B1096">
          <w:rPr>
            <w:rStyle w:val="Hyperlink"/>
          </w:rPr>
          <w:t>https://www.investopedia.com/terms/v/vix.asp</w:t>
        </w:r>
      </w:hyperlink>
    </w:p>
    <w:p w14:paraId="22520D8F" w14:textId="29617436" w:rsidR="00617947" w:rsidRPr="00AB0292" w:rsidRDefault="00617947" w:rsidP="007F251A">
      <w:pPr>
        <w:pStyle w:val="ListParagraph"/>
        <w:numPr>
          <w:ilvl w:val="0"/>
          <w:numId w:val="3"/>
        </w:numPr>
        <w:spacing w:before="100" w:beforeAutospacing="1" w:after="100" w:afterAutospacing="1"/>
      </w:pPr>
      <w:r w:rsidRPr="00617947">
        <w:t>https://scikit-learn.org/stable/modules/generated/sklearn.linear_model.LinearRegression.html</w:t>
      </w:r>
    </w:p>
    <w:p w14:paraId="5BC456F1" w14:textId="77777777" w:rsidR="00774848" w:rsidRDefault="00774848"/>
    <w:sectPr w:rsidR="00774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MBX12">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MR1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0619A"/>
    <w:multiLevelType w:val="hybridMultilevel"/>
    <w:tmpl w:val="5914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9097D"/>
    <w:multiLevelType w:val="hybridMultilevel"/>
    <w:tmpl w:val="C81ECF30"/>
    <w:lvl w:ilvl="0" w:tplc="B842507A">
      <w:start w:val="1"/>
      <w:numFmt w:val="decimal"/>
      <w:lvlText w:val="%1."/>
      <w:lvlJc w:val="left"/>
      <w:pPr>
        <w:ind w:left="720" w:hanging="360"/>
      </w:pPr>
      <w:rPr>
        <w:rFonts w:ascii="CMBX12" w:hAnsi="CMBX12"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A40B5"/>
    <w:multiLevelType w:val="multilevel"/>
    <w:tmpl w:val="584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92"/>
    <w:rsid w:val="004247D4"/>
    <w:rsid w:val="004E1471"/>
    <w:rsid w:val="00552258"/>
    <w:rsid w:val="005B1DD7"/>
    <w:rsid w:val="0061672E"/>
    <w:rsid w:val="00617947"/>
    <w:rsid w:val="00674E4C"/>
    <w:rsid w:val="007240EF"/>
    <w:rsid w:val="00774848"/>
    <w:rsid w:val="007F251A"/>
    <w:rsid w:val="00847137"/>
    <w:rsid w:val="008D2F3D"/>
    <w:rsid w:val="009D3EA6"/>
    <w:rsid w:val="00A15A6B"/>
    <w:rsid w:val="00A91F52"/>
    <w:rsid w:val="00AB0292"/>
    <w:rsid w:val="00BA4447"/>
    <w:rsid w:val="00D46828"/>
    <w:rsid w:val="00D71569"/>
    <w:rsid w:val="00FF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A1CBF"/>
  <w15:chartTrackingRefBased/>
  <w15:docId w15:val="{73B4CF78-80B2-2747-9C2E-3C43E730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72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292"/>
    <w:pPr>
      <w:spacing w:before="100" w:beforeAutospacing="1" w:after="100" w:afterAutospacing="1"/>
    </w:pPr>
  </w:style>
  <w:style w:type="character" w:styleId="Hyperlink">
    <w:name w:val="Hyperlink"/>
    <w:basedOn w:val="DefaultParagraphFont"/>
    <w:uiPriority w:val="99"/>
    <w:unhideWhenUsed/>
    <w:rsid w:val="00A15A6B"/>
    <w:rPr>
      <w:color w:val="0000FF"/>
      <w:u w:val="single"/>
    </w:rPr>
  </w:style>
  <w:style w:type="paragraph" w:customStyle="1" w:styleId="comp">
    <w:name w:val="comp"/>
    <w:basedOn w:val="Normal"/>
    <w:rsid w:val="005B1DD7"/>
    <w:pPr>
      <w:spacing w:before="100" w:beforeAutospacing="1" w:after="100" w:afterAutospacing="1"/>
    </w:pPr>
  </w:style>
  <w:style w:type="paragraph" w:styleId="ListParagraph">
    <w:name w:val="List Paragraph"/>
    <w:basedOn w:val="Normal"/>
    <w:uiPriority w:val="34"/>
    <w:qFormat/>
    <w:rsid w:val="00FF194B"/>
    <w:pPr>
      <w:ind w:left="720"/>
      <w:contextualSpacing/>
    </w:pPr>
  </w:style>
  <w:style w:type="character" w:styleId="UnresolvedMention">
    <w:name w:val="Unresolved Mention"/>
    <w:basedOn w:val="DefaultParagraphFont"/>
    <w:uiPriority w:val="99"/>
    <w:semiHidden/>
    <w:unhideWhenUsed/>
    <w:rsid w:val="007F2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0171">
      <w:bodyDiv w:val="1"/>
      <w:marLeft w:val="0"/>
      <w:marRight w:val="0"/>
      <w:marTop w:val="0"/>
      <w:marBottom w:val="0"/>
      <w:divBdr>
        <w:top w:val="none" w:sz="0" w:space="0" w:color="auto"/>
        <w:left w:val="none" w:sz="0" w:space="0" w:color="auto"/>
        <w:bottom w:val="none" w:sz="0" w:space="0" w:color="auto"/>
        <w:right w:val="none" w:sz="0" w:space="0" w:color="auto"/>
      </w:divBdr>
    </w:div>
    <w:div w:id="521089750">
      <w:bodyDiv w:val="1"/>
      <w:marLeft w:val="0"/>
      <w:marRight w:val="0"/>
      <w:marTop w:val="0"/>
      <w:marBottom w:val="0"/>
      <w:divBdr>
        <w:top w:val="none" w:sz="0" w:space="0" w:color="auto"/>
        <w:left w:val="none" w:sz="0" w:space="0" w:color="auto"/>
        <w:bottom w:val="none" w:sz="0" w:space="0" w:color="auto"/>
        <w:right w:val="none" w:sz="0" w:space="0" w:color="auto"/>
      </w:divBdr>
    </w:div>
    <w:div w:id="738476399">
      <w:bodyDiv w:val="1"/>
      <w:marLeft w:val="0"/>
      <w:marRight w:val="0"/>
      <w:marTop w:val="0"/>
      <w:marBottom w:val="0"/>
      <w:divBdr>
        <w:top w:val="none" w:sz="0" w:space="0" w:color="auto"/>
        <w:left w:val="none" w:sz="0" w:space="0" w:color="auto"/>
        <w:bottom w:val="none" w:sz="0" w:space="0" w:color="auto"/>
        <w:right w:val="none" w:sz="0" w:space="0" w:color="auto"/>
      </w:divBdr>
      <w:divsChild>
        <w:div w:id="842623680">
          <w:marLeft w:val="0"/>
          <w:marRight w:val="0"/>
          <w:marTop w:val="0"/>
          <w:marBottom w:val="0"/>
          <w:divBdr>
            <w:top w:val="none" w:sz="0" w:space="0" w:color="auto"/>
            <w:left w:val="none" w:sz="0" w:space="0" w:color="auto"/>
            <w:bottom w:val="none" w:sz="0" w:space="0" w:color="auto"/>
            <w:right w:val="none" w:sz="0" w:space="0" w:color="auto"/>
          </w:divBdr>
          <w:divsChild>
            <w:div w:id="637490530">
              <w:marLeft w:val="0"/>
              <w:marRight w:val="0"/>
              <w:marTop w:val="0"/>
              <w:marBottom w:val="0"/>
              <w:divBdr>
                <w:top w:val="none" w:sz="0" w:space="0" w:color="auto"/>
                <w:left w:val="none" w:sz="0" w:space="0" w:color="auto"/>
                <w:bottom w:val="none" w:sz="0" w:space="0" w:color="auto"/>
                <w:right w:val="none" w:sz="0" w:space="0" w:color="auto"/>
              </w:divBdr>
              <w:divsChild>
                <w:div w:id="14127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0079">
          <w:marLeft w:val="0"/>
          <w:marRight w:val="0"/>
          <w:marTop w:val="0"/>
          <w:marBottom w:val="0"/>
          <w:divBdr>
            <w:top w:val="none" w:sz="0" w:space="0" w:color="auto"/>
            <w:left w:val="none" w:sz="0" w:space="0" w:color="auto"/>
            <w:bottom w:val="none" w:sz="0" w:space="0" w:color="auto"/>
            <w:right w:val="none" w:sz="0" w:space="0" w:color="auto"/>
          </w:divBdr>
          <w:divsChild>
            <w:div w:id="1179349503">
              <w:marLeft w:val="0"/>
              <w:marRight w:val="0"/>
              <w:marTop w:val="0"/>
              <w:marBottom w:val="0"/>
              <w:divBdr>
                <w:top w:val="none" w:sz="0" w:space="0" w:color="auto"/>
                <w:left w:val="none" w:sz="0" w:space="0" w:color="auto"/>
                <w:bottom w:val="none" w:sz="0" w:space="0" w:color="auto"/>
                <w:right w:val="none" w:sz="0" w:space="0" w:color="auto"/>
              </w:divBdr>
              <w:divsChild>
                <w:div w:id="1592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99388">
          <w:marLeft w:val="0"/>
          <w:marRight w:val="0"/>
          <w:marTop w:val="0"/>
          <w:marBottom w:val="0"/>
          <w:divBdr>
            <w:top w:val="none" w:sz="0" w:space="0" w:color="auto"/>
            <w:left w:val="none" w:sz="0" w:space="0" w:color="auto"/>
            <w:bottom w:val="none" w:sz="0" w:space="0" w:color="auto"/>
            <w:right w:val="none" w:sz="0" w:space="0" w:color="auto"/>
          </w:divBdr>
          <w:divsChild>
            <w:div w:id="1822042386">
              <w:marLeft w:val="0"/>
              <w:marRight w:val="0"/>
              <w:marTop w:val="0"/>
              <w:marBottom w:val="0"/>
              <w:divBdr>
                <w:top w:val="none" w:sz="0" w:space="0" w:color="auto"/>
                <w:left w:val="none" w:sz="0" w:space="0" w:color="auto"/>
                <w:bottom w:val="none" w:sz="0" w:space="0" w:color="auto"/>
                <w:right w:val="none" w:sz="0" w:space="0" w:color="auto"/>
              </w:divBdr>
              <w:divsChild>
                <w:div w:id="1515458977">
                  <w:marLeft w:val="0"/>
                  <w:marRight w:val="0"/>
                  <w:marTop w:val="0"/>
                  <w:marBottom w:val="0"/>
                  <w:divBdr>
                    <w:top w:val="none" w:sz="0" w:space="0" w:color="auto"/>
                    <w:left w:val="none" w:sz="0" w:space="0" w:color="auto"/>
                    <w:bottom w:val="none" w:sz="0" w:space="0" w:color="auto"/>
                    <w:right w:val="none" w:sz="0" w:space="0" w:color="auto"/>
                  </w:divBdr>
                </w:div>
              </w:divsChild>
            </w:div>
            <w:div w:id="1064987746">
              <w:marLeft w:val="0"/>
              <w:marRight w:val="0"/>
              <w:marTop w:val="0"/>
              <w:marBottom w:val="0"/>
              <w:divBdr>
                <w:top w:val="none" w:sz="0" w:space="0" w:color="auto"/>
                <w:left w:val="none" w:sz="0" w:space="0" w:color="auto"/>
                <w:bottom w:val="none" w:sz="0" w:space="0" w:color="auto"/>
                <w:right w:val="none" w:sz="0" w:space="0" w:color="auto"/>
              </w:divBdr>
              <w:divsChild>
                <w:div w:id="1182210358">
                  <w:marLeft w:val="0"/>
                  <w:marRight w:val="0"/>
                  <w:marTop w:val="0"/>
                  <w:marBottom w:val="0"/>
                  <w:divBdr>
                    <w:top w:val="none" w:sz="0" w:space="0" w:color="auto"/>
                    <w:left w:val="none" w:sz="0" w:space="0" w:color="auto"/>
                    <w:bottom w:val="none" w:sz="0" w:space="0" w:color="auto"/>
                    <w:right w:val="none" w:sz="0" w:space="0" w:color="auto"/>
                  </w:divBdr>
                  <w:divsChild>
                    <w:div w:id="87126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1773">
              <w:marLeft w:val="0"/>
              <w:marRight w:val="0"/>
              <w:marTop w:val="0"/>
              <w:marBottom w:val="0"/>
              <w:divBdr>
                <w:top w:val="none" w:sz="0" w:space="0" w:color="auto"/>
                <w:left w:val="none" w:sz="0" w:space="0" w:color="auto"/>
                <w:bottom w:val="none" w:sz="0" w:space="0" w:color="auto"/>
                <w:right w:val="none" w:sz="0" w:space="0" w:color="auto"/>
              </w:divBdr>
              <w:divsChild>
                <w:div w:id="6359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82456">
          <w:marLeft w:val="0"/>
          <w:marRight w:val="0"/>
          <w:marTop w:val="0"/>
          <w:marBottom w:val="0"/>
          <w:divBdr>
            <w:top w:val="none" w:sz="0" w:space="0" w:color="auto"/>
            <w:left w:val="none" w:sz="0" w:space="0" w:color="auto"/>
            <w:bottom w:val="none" w:sz="0" w:space="0" w:color="auto"/>
            <w:right w:val="none" w:sz="0" w:space="0" w:color="auto"/>
          </w:divBdr>
          <w:divsChild>
            <w:div w:id="1896349786">
              <w:marLeft w:val="0"/>
              <w:marRight w:val="0"/>
              <w:marTop w:val="0"/>
              <w:marBottom w:val="0"/>
              <w:divBdr>
                <w:top w:val="none" w:sz="0" w:space="0" w:color="auto"/>
                <w:left w:val="none" w:sz="0" w:space="0" w:color="auto"/>
                <w:bottom w:val="none" w:sz="0" w:space="0" w:color="auto"/>
                <w:right w:val="none" w:sz="0" w:space="0" w:color="auto"/>
              </w:divBdr>
              <w:divsChild>
                <w:div w:id="98227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0103">
      <w:bodyDiv w:val="1"/>
      <w:marLeft w:val="0"/>
      <w:marRight w:val="0"/>
      <w:marTop w:val="0"/>
      <w:marBottom w:val="0"/>
      <w:divBdr>
        <w:top w:val="none" w:sz="0" w:space="0" w:color="auto"/>
        <w:left w:val="none" w:sz="0" w:space="0" w:color="auto"/>
        <w:bottom w:val="none" w:sz="0" w:space="0" w:color="auto"/>
        <w:right w:val="none" w:sz="0" w:space="0" w:color="auto"/>
      </w:divBdr>
    </w:div>
    <w:div w:id="1038626449">
      <w:bodyDiv w:val="1"/>
      <w:marLeft w:val="0"/>
      <w:marRight w:val="0"/>
      <w:marTop w:val="0"/>
      <w:marBottom w:val="0"/>
      <w:divBdr>
        <w:top w:val="none" w:sz="0" w:space="0" w:color="auto"/>
        <w:left w:val="none" w:sz="0" w:space="0" w:color="auto"/>
        <w:bottom w:val="none" w:sz="0" w:space="0" w:color="auto"/>
        <w:right w:val="none" w:sz="0" w:space="0" w:color="auto"/>
      </w:divBdr>
    </w:div>
    <w:div w:id="1394154966">
      <w:bodyDiv w:val="1"/>
      <w:marLeft w:val="0"/>
      <w:marRight w:val="0"/>
      <w:marTop w:val="0"/>
      <w:marBottom w:val="0"/>
      <w:divBdr>
        <w:top w:val="none" w:sz="0" w:space="0" w:color="auto"/>
        <w:left w:val="none" w:sz="0" w:space="0" w:color="auto"/>
        <w:bottom w:val="none" w:sz="0" w:space="0" w:color="auto"/>
        <w:right w:val="none" w:sz="0" w:space="0" w:color="auto"/>
      </w:divBdr>
    </w:div>
    <w:div w:id="1712993364">
      <w:bodyDiv w:val="1"/>
      <w:marLeft w:val="0"/>
      <w:marRight w:val="0"/>
      <w:marTop w:val="0"/>
      <w:marBottom w:val="0"/>
      <w:divBdr>
        <w:top w:val="none" w:sz="0" w:space="0" w:color="auto"/>
        <w:left w:val="none" w:sz="0" w:space="0" w:color="auto"/>
        <w:bottom w:val="none" w:sz="0" w:space="0" w:color="auto"/>
        <w:right w:val="none" w:sz="0" w:space="0" w:color="auto"/>
      </w:divBdr>
    </w:div>
    <w:div w:id="1781560653">
      <w:bodyDiv w:val="1"/>
      <w:marLeft w:val="0"/>
      <w:marRight w:val="0"/>
      <w:marTop w:val="0"/>
      <w:marBottom w:val="0"/>
      <w:divBdr>
        <w:top w:val="none" w:sz="0" w:space="0" w:color="auto"/>
        <w:left w:val="none" w:sz="0" w:space="0" w:color="auto"/>
        <w:bottom w:val="none" w:sz="0" w:space="0" w:color="auto"/>
        <w:right w:val="none" w:sz="0" w:space="0" w:color="auto"/>
      </w:divBdr>
    </w:div>
    <w:div w:id="20966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c/cboe.asp" TargetMode="External"/><Relationship Id="rId13" Type="http://schemas.openxmlformats.org/officeDocument/2006/relationships/hyperlink" Target="https://www.investopedia.com/terms/v/vix.asp" TargetMode="External"/><Relationship Id="rId3" Type="http://schemas.openxmlformats.org/officeDocument/2006/relationships/settings" Target="settings.xml"/><Relationship Id="rId7" Type="http://schemas.openxmlformats.org/officeDocument/2006/relationships/hyperlink" Target="https://www.investopedia.com/terms/v/volatility.asp" TargetMode="External"/><Relationship Id="rId12" Type="http://schemas.openxmlformats.org/officeDocument/2006/relationships/hyperlink" Target="https://www.investopedia.com/articles/optioninvestor/06/ironcondor.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i/indexoption.asp" TargetMode="External"/><Relationship Id="rId11" Type="http://schemas.openxmlformats.org/officeDocument/2006/relationships/hyperlink" Target="https://www.investopedia.com/terms/o/outofthemoney.asp" TargetMode="External"/><Relationship Id="rId5" Type="http://schemas.openxmlformats.org/officeDocument/2006/relationships/hyperlink" Target="https://www.investopedia.com/terms/m/marketindex.asp" TargetMode="External"/><Relationship Id="rId15" Type="http://schemas.openxmlformats.org/officeDocument/2006/relationships/theme" Target="theme/theme1.xml"/><Relationship Id="rId10" Type="http://schemas.openxmlformats.org/officeDocument/2006/relationships/hyperlink" Target="https://www.investopedia.com/terms/i/iv.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808</Words>
  <Characters>4607</Characters>
  <Application>Microsoft Office Word</Application>
  <DocSecurity>0</DocSecurity>
  <Lines>38</Lines>
  <Paragraphs>10</Paragraphs>
  <ScaleCrop>false</ScaleCrop>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Roy</dc:creator>
  <cp:keywords/>
  <dc:description/>
  <cp:lastModifiedBy>Avishek Roy</cp:lastModifiedBy>
  <cp:revision>19</cp:revision>
  <dcterms:created xsi:type="dcterms:W3CDTF">2021-06-26T15:10:00Z</dcterms:created>
  <dcterms:modified xsi:type="dcterms:W3CDTF">2021-08-02T04:19:00Z</dcterms:modified>
</cp:coreProperties>
</file>