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Workplace Relocation &amp; Transfer Guidelines</w:t>
      </w:r>
    </w:p>
    <w:p>
      <w:r>
        <w:t>1. Domestic Office Transfer:</w:t>
      </w:r>
    </w:p>
    <w:p>
      <w:r>
        <w:t>Employees with at least 12 months of tenure in their current branch may request a location transfer to Bangalore, Pune, or Gurgaon office.</w:t>
      </w:r>
    </w:p>
    <w:p>
      <w:r>
        <w:t>2. Relocation Allowance:</w:t>
      </w:r>
    </w:p>
    <w:p>
      <w:r>
        <w:t>The company reimburses moving logistics up to 75,000 INR upon submission of vendor receipts.</w:t>
      </w:r>
    </w:p>
    <w:p>
      <w:r>
        <w:t>Employees are granted 3 consecutive days of paid relocation leave to organize their household move.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