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EECard</w:t>
      </w:r>
    </w:p>
    <w:p>
      <w:r>
        <w:t>Studio di fattibilità e progettazione funzionale preliminare</w:t>
      </w:r>
    </w:p>
    <w:p>
      <w:r>
        <w:t>Versione 0.1 — Base di discussione per fondatori, designer e sviluppatori. Mercato iniziale ipotizzato: Italia. Nessun prodotto è stato sviluppato in questa fase.</w:t>
      </w:r>
    </w:p>
    <w:p>
      <w:pPr>
        <w:pStyle w:val="Heading1"/>
      </w:pPr>
      <w:r>
        <w:t>1. Fonti, affidabilità e stato delle decisioni</w:t>
      </w:r>
    </w:p>
    <w:p>
      <w:r>
        <w:t>Sono stati esaminati il PDF EECard, composto da una pagina, e l’intero file audio Nuova registrazione 9, durata 24 minuti e 18 secondi. L’analisi dell’audio si basa su trascrizioni automatiche locali, con una prima elaborazione integrale e controlli aggiuntivi. Non equivale a una trascrizione umana certificata: non vengono attribuite frasi a persone identificate. Gli intervalli temporali sono orientativi e servono a ritrovare i passaggi, non a certificare il secondo esatto di una frase.</w:t>
      </w:r>
    </w:p>
    <w:p>
      <w:r>
        <w:t>Il PDF è stato letto anche come immagine. Alcune righe arrivano al margine destro e la frase sulla consegna della card resta troncata dopo “per”. La consegna postale è invece ricostruibile nel riepilogo audio intorno a 22:00–22:20. La locuzione relativa all’importazione del PDF nella funzione affitto è poco precisa anche nel documento.</w:t>
      </w:r>
    </w:p>
    <w:tbl>
      <w:tblPr>
        <w:tblStyle w:val="LightShading-Accent1"/>
        <w:tblW w:type="auto" w:w="0"/>
        <w:tblLook w:firstColumn="1" w:firstRow="1" w:lastColumn="0" w:lastRow="0" w:noHBand="0" w:noVBand="1" w:val="04A0"/>
      </w:tblPr>
      <w:tblGrid>
        <w:gridCol w:w="5100"/>
        <w:gridCol w:w="5100"/>
      </w:tblGrid>
      <w:tr>
        <w:trPr>
          <w:tblHeader/>
        </w:trPr>
        <w:tc>
          <w:tcPr>
            <w:tcW w:type="dxa" w:w="5100"/>
          </w:tcPr>
          <w:p>
            <w:r>
              <w:t>Etichetta</w:t>
            </w:r>
          </w:p>
        </w:tc>
        <w:tc>
          <w:tcPr>
            <w:tcW w:type="dxa" w:w="5100"/>
          </w:tcPr>
          <w:p>
            <w:r>
              <w:t>Significato</w:t>
            </w:r>
          </w:p>
        </w:tc>
      </w:tr>
      <w:tr>
        <w:trPr>
          <w:cantSplit/>
        </w:trPr>
        <w:tc>
          <w:tcPr>
            <w:tcW w:type="dxa" w:w="5100"/>
          </w:tcPr>
          <w:p>
            <w:pPr>
              <w:spacing w:after="60"/>
            </w:pPr>
            <w:r>
              <w:rPr>
                <w:sz w:val="18"/>
              </w:rPr>
              <w:t>F — Fonte</w:t>
            </w:r>
          </w:p>
        </w:tc>
        <w:tc>
          <w:tcPr>
            <w:tcW w:type="dxa" w:w="5100"/>
          </w:tcPr>
          <w:p>
            <w:pPr>
              <w:spacing w:after="60"/>
            </w:pPr>
            <w:r>
              <w:rPr>
                <w:sz w:val="18"/>
              </w:rPr>
              <w:t>Elemento dichiarato nel PDF, ricostruibile dall’audio o contenuto nella richiesta attuale. Una proposta pronunciata nella conversazione non diventa automaticamente una decisione vincolante.</w:t>
            </w:r>
          </w:p>
        </w:tc>
      </w:tr>
      <w:tr>
        <w:trPr>
          <w:cantSplit/>
        </w:trPr>
        <w:tc>
          <w:tcPr>
            <w:tcW w:type="dxa" w:w="5100"/>
          </w:tcPr>
          <w:p>
            <w:pPr>
              <w:spacing w:after="60"/>
            </w:pPr>
            <w:r>
              <w:rPr>
                <w:sz w:val="18"/>
              </w:rPr>
              <w:t>I — Interpretazione</w:t>
            </w:r>
          </w:p>
        </w:tc>
        <w:tc>
          <w:tcPr>
            <w:tcW w:type="dxa" w:w="5100"/>
          </w:tcPr>
          <w:p>
            <w:pPr>
              <w:spacing w:after="60"/>
            </w:pPr>
            <w:r>
              <w:rPr>
                <w:sz w:val="18"/>
              </w:rPr>
              <w:t>Lettura critica di bisogni, motivazioni e implicazioni; può essere corretta dai fondatori.</w:t>
            </w:r>
          </w:p>
        </w:tc>
      </w:tr>
      <w:tr>
        <w:trPr>
          <w:cantSplit/>
        </w:trPr>
        <w:tc>
          <w:tcPr>
            <w:tcW w:type="dxa" w:w="5100"/>
          </w:tcPr>
          <w:p>
            <w:pPr>
              <w:spacing w:after="60"/>
            </w:pPr>
            <w:r>
              <w:rPr>
                <w:sz w:val="18"/>
              </w:rPr>
              <w:t>P — Proposta</w:t>
            </w:r>
          </w:p>
        </w:tc>
        <w:tc>
          <w:tcPr>
            <w:tcW w:type="dxa" w:w="5100"/>
          </w:tcPr>
          <w:p>
            <w:pPr>
              <w:spacing w:after="60"/>
            </w:pPr>
            <w:r>
              <w:rPr>
                <w:sz w:val="18"/>
              </w:rPr>
              <w:t>Scelta suggerita in questo studio; non ancora approvata.</w:t>
            </w:r>
          </w:p>
        </w:tc>
      </w:tr>
      <w:tr>
        <w:trPr>
          <w:cantSplit/>
        </w:trPr>
        <w:tc>
          <w:tcPr>
            <w:tcW w:type="dxa" w:w="5100"/>
          </w:tcPr>
          <w:p>
            <w:pPr>
              <w:spacing w:after="60"/>
            </w:pPr>
            <w:r>
              <w:rPr>
                <w:sz w:val="18"/>
              </w:rPr>
              <w:t>H — Ipotesi</w:t>
            </w:r>
          </w:p>
        </w:tc>
        <w:tc>
          <w:tcPr>
            <w:tcW w:type="dxa" w:w="5100"/>
          </w:tcPr>
          <w:p>
            <w:pPr>
              <w:spacing w:after="60"/>
            </w:pPr>
            <w:r>
              <w:rPr>
                <w:sz w:val="18"/>
              </w:rPr>
              <w:t>Assunzione usata per poter progettare o calcolare. Deve essere misurata o confermata.</w:t>
            </w:r>
          </w:p>
        </w:tc>
      </w:tr>
    </w:tbl>
    <w:p/>
    <w:p>
      <w:pPr>
        <w:pStyle w:val="Heading2"/>
      </w:pPr>
      <w:r>
        <w:t>Ricostruzione della conversazione</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tcPr>
          <w:p>
            <w:r>
              <w:t>Intervallo</w:t>
            </w:r>
          </w:p>
        </w:tc>
        <w:tc>
          <w:tcPr>
            <w:tcW w:type="dxa" w:w="3400"/>
          </w:tcPr>
          <w:p>
            <w:r>
              <w:t>Contenuto e motivazione</w:t>
            </w:r>
          </w:p>
        </w:tc>
        <w:tc>
          <w:tcPr>
            <w:tcW w:type="dxa" w:w="3400"/>
          </w:tcPr>
          <w:p>
            <w:r>
              <w:t>Stato e rapporto col PDF</w:t>
            </w:r>
          </w:p>
        </w:tc>
      </w:tr>
      <w:tr>
        <w:trPr>
          <w:cantSplit/>
        </w:trPr>
        <w:tc>
          <w:tcPr>
            <w:tcW w:type="dxa" w:w="3400"/>
          </w:tcPr>
          <w:p>
            <w:pPr>
              <w:spacing w:after="60"/>
            </w:pPr>
            <w:r>
              <w:rPr>
                <w:sz w:val="18"/>
              </w:rPr>
              <w:t>00:00–01:30</w:t>
            </w:r>
          </w:p>
        </w:tc>
        <w:tc>
          <w:tcPr>
            <w:tcW w:type="dxa" w:w="3400"/>
          </w:tcPr>
          <w:p>
            <w:pPr>
              <w:spacing w:after="60"/>
            </w:pPr>
            <w:r>
              <w:rPr>
                <w:sz w:val="18"/>
              </w:rPr>
              <w:t>Difficoltà a recuperare documentazione immobiliare; il proprietario spesso non sa quali carte possiede né quale tecnico lo abbia seguito. Un archivio dovrebbe aiutare anche quando deve vendere.</w:t>
            </w:r>
          </w:p>
        </w:tc>
        <w:tc>
          <w:tcPr>
            <w:tcW w:type="dxa" w:w="3400"/>
          </w:tcPr>
          <w:p>
            <w:pPr>
              <w:spacing w:after="60"/>
            </w:pPr>
            <w:r>
              <w:rPr>
                <w:sz w:val="18"/>
              </w:rPr>
              <w:t>F: bisogno esplicito. Il PDF elenca certificati ma perde questa motivazione e il legame con la futura vendita. L’avvio della registrazione è frammentario.</w:t>
            </w:r>
          </w:p>
        </w:tc>
      </w:tr>
      <w:tr>
        <w:trPr>
          <w:cantSplit/>
        </w:trPr>
        <w:tc>
          <w:tcPr>
            <w:tcW w:type="dxa" w:w="3400"/>
          </w:tcPr>
          <w:p>
            <w:pPr>
              <w:spacing w:after="60"/>
            </w:pPr>
            <w:r>
              <w:rPr>
                <w:sz w:val="18"/>
              </w:rPr>
              <w:t>01:30–02:40</w:t>
            </w:r>
          </w:p>
        </w:tc>
        <w:tc>
          <w:tcPr>
            <w:tcW w:type="dxa" w:w="3400"/>
          </w:tcPr>
          <w:p>
            <w:pPr>
              <w:spacing w:after="60"/>
            </w:pPr>
            <w:r>
              <w:rPr>
                <w:sz w:val="18"/>
              </w:rPr>
              <w:t>Pagina di tecnici di fiducia, collegamento a professionisti già conosciuti dall’agenzia o intervenuti sull’immobile. Si menzionano geometri, idraulici, muratori e sgombero cantine.</w:t>
            </w:r>
          </w:p>
        </w:tc>
        <w:tc>
          <w:tcPr>
            <w:tcW w:type="dxa" w:w="3400"/>
          </w:tcPr>
          <w:p>
            <w:pPr>
              <w:spacing w:after="60"/>
            </w:pPr>
            <w:r>
              <w:rPr>
                <w:sz w:val="18"/>
              </w:rPr>
              <w:t>F: ampliamento rispetto a “Pronto Tecnico”. Non risulta un contratto già concluso con una rete di fornitori.</w:t>
            </w:r>
          </w:p>
        </w:tc>
      </w:tr>
      <w:tr>
        <w:trPr>
          <w:cantSplit/>
        </w:trPr>
        <w:tc>
          <w:tcPr>
            <w:tcW w:type="dxa" w:w="3400"/>
          </w:tcPr>
          <w:p>
            <w:pPr>
              <w:spacing w:after="60"/>
            </w:pPr>
            <w:r>
              <w:rPr>
                <w:sz w:val="18"/>
              </w:rPr>
              <w:t>02:45–04:30</w:t>
            </w:r>
          </w:p>
        </w:tc>
        <w:tc>
          <w:tcPr>
            <w:tcW w:type="dxa" w:w="3400"/>
          </w:tcPr>
          <w:p>
            <w:pPr>
              <w:spacing w:after="60"/>
            </w:pPr>
            <w:r>
              <w:rPr>
                <w:sz w:val="18"/>
              </w:rPr>
              <w:t>Consulenza master annuale, personale e riservata, collegata alle scelte sull’immobile.</w:t>
            </w:r>
          </w:p>
        </w:tc>
        <w:tc>
          <w:tcPr>
            <w:tcW w:type="dxa" w:w="3400"/>
          </w:tcPr>
          <w:p>
            <w:pPr>
              <w:spacing w:after="60"/>
            </w:pPr>
            <w:r>
              <w:rPr>
                <w:sz w:val="18"/>
              </w:rPr>
              <w:t>F: contenuto abbastanza chiaro. Il PDF la assegna ai proprietari; i controlli automatici del dialogo intorno a 04:00–04:30 suggeriscono una possibile estensione, ma la risposta non è abbastanza affidabile per risolvere il contrasto.</w:t>
            </w:r>
          </w:p>
        </w:tc>
      </w:tr>
      <w:tr>
        <w:trPr>
          <w:cantSplit/>
        </w:trPr>
        <w:tc>
          <w:tcPr>
            <w:tcW w:type="dxa" w:w="3400"/>
          </w:tcPr>
          <w:p>
            <w:pPr>
              <w:spacing w:after="60"/>
            </w:pPr>
            <w:r>
              <w:rPr>
                <w:sz w:val="18"/>
              </w:rPr>
              <w:t>04:30–05:15</w:t>
            </w:r>
          </w:p>
        </w:tc>
        <w:tc>
          <w:tcPr>
            <w:tcW w:type="dxa" w:w="3400"/>
          </w:tcPr>
          <w:p>
            <w:pPr>
              <w:spacing w:after="60"/>
            </w:pPr>
            <w:r>
              <w:rPr>
                <w:sz w:val="18"/>
              </w:rPr>
              <w:t>Documenti di base per l’inquilino e archivio generale dell’agenzia, che può recuperare copie per il cliente.</w:t>
            </w:r>
          </w:p>
        </w:tc>
        <w:tc>
          <w:tcPr>
            <w:tcW w:type="dxa" w:w="3400"/>
          </w:tcPr>
          <w:p>
            <w:pPr>
              <w:spacing w:after="60"/>
            </w:pPr>
            <w:r>
              <w:rPr>
                <w:sz w:val="18"/>
              </w:rPr>
              <w:t>F: il pannello dell’agenzia è implicito nell’audio e assente come sezione del PDF.</w:t>
            </w:r>
          </w:p>
        </w:tc>
      </w:tr>
      <w:tr>
        <w:trPr>
          <w:cantSplit/>
        </w:trPr>
        <w:tc>
          <w:tcPr>
            <w:tcW w:type="dxa" w:w="3400"/>
          </w:tcPr>
          <w:p>
            <w:pPr>
              <w:spacing w:after="60"/>
            </w:pPr>
            <w:r>
              <w:rPr>
                <w:sz w:val="18"/>
              </w:rPr>
              <w:t>05:30–06:30</w:t>
            </w:r>
          </w:p>
        </w:tc>
        <w:tc>
          <w:tcPr>
            <w:tcW w:type="dxa" w:w="3400"/>
          </w:tcPr>
          <w:p>
            <w:pPr>
              <w:spacing w:after="60"/>
            </w:pPr>
            <w:r>
              <w:rPr>
                <w:sz w:val="18"/>
              </w:rPr>
              <w:t>Esempio di ricavi su circa cento utenti e aspettativa di poca gestione una volta avviato il sistema.</w:t>
            </w:r>
          </w:p>
        </w:tc>
        <w:tc>
          <w:tcPr>
            <w:tcW w:type="dxa" w:w="3400"/>
          </w:tcPr>
          <w:p>
            <w:pPr>
              <w:spacing w:after="60"/>
            </w:pPr>
            <w:r>
              <w:rPr>
                <w:sz w:val="18"/>
              </w:rPr>
              <w:t>F con forte riserva sui numeri: due controlli automatici rendono un riferimento a 2.600 euro l’anno e circa 60 inquilini/40 proprietari. Non è un listino affidabile e non torna con 15×60 + 50×40 = 2.900 euro.</w:t>
            </w:r>
          </w:p>
        </w:tc>
      </w:tr>
      <w:tr>
        <w:trPr>
          <w:cantSplit/>
        </w:trPr>
        <w:tc>
          <w:tcPr>
            <w:tcW w:type="dxa" w:w="3400"/>
          </w:tcPr>
          <w:p>
            <w:pPr>
              <w:spacing w:after="60"/>
            </w:pPr>
            <w:r>
              <w:rPr>
                <w:sz w:val="18"/>
              </w:rPr>
              <w:t>07:30–08:40</w:t>
            </w:r>
          </w:p>
        </w:tc>
        <w:tc>
          <w:tcPr>
            <w:tcW w:type="dxa" w:w="3400"/>
          </w:tcPr>
          <w:p>
            <w:pPr>
              <w:spacing w:after="60"/>
            </w:pPr>
            <w:r>
              <w:rPr>
                <w:sz w:val="18"/>
              </w:rPr>
              <w:t>Riepilogo di due categorie di utenti, prezzi, 3D della casa con modifiche, certificati, consulenza, bollette. Compare anche la convinzione che non esista una soluzione analoga.</w:t>
            </w:r>
          </w:p>
        </w:tc>
        <w:tc>
          <w:tcPr>
            <w:tcW w:type="dxa" w:w="3400"/>
          </w:tcPr>
          <w:p>
            <w:pPr>
              <w:spacing w:after="60"/>
            </w:pPr>
            <w:r>
              <w:rPr>
                <w:sz w:val="18"/>
              </w:rPr>
              <w:t>F: coincide in gran parte col PDF. Il 50 € del proprietario è ricostruibile; per l’inquilino due controlli rendono 20 €, mentre il PDF dice 15 €. Possibile divergenza da confermare, non correzione certa del PDF. La presunta assenza di concorrenza è un’ipotesi.</w:t>
            </w:r>
          </w:p>
        </w:tc>
      </w:tr>
      <w:tr>
        <w:trPr>
          <w:cantSplit/>
        </w:trPr>
        <w:tc>
          <w:tcPr>
            <w:tcW w:type="dxa" w:w="3400"/>
          </w:tcPr>
          <w:p>
            <w:pPr>
              <w:spacing w:after="60"/>
            </w:pPr>
            <w:r>
              <w:rPr>
                <w:sz w:val="18"/>
              </w:rPr>
              <w:t>09:00–10:20</w:t>
            </w:r>
          </w:p>
        </w:tc>
        <w:tc>
          <w:tcPr>
            <w:tcW w:type="dxa" w:w="3400"/>
          </w:tcPr>
          <w:p>
            <w:pPr>
              <w:spacing w:after="60"/>
            </w:pPr>
            <w:r>
              <w:rPr>
                <w:sz w:val="18"/>
              </w:rPr>
              <w:t>Contatto con il tecnico e recupero della richiesta da segreteria o agenzia se non risponde; esempi di chiamate serali.</w:t>
            </w:r>
          </w:p>
        </w:tc>
        <w:tc>
          <w:tcPr>
            <w:tcW w:type="dxa" w:w="3400"/>
          </w:tcPr>
          <w:p>
            <w:pPr>
              <w:spacing w:after="60"/>
            </w:pPr>
            <w:r>
              <w:rPr>
                <w:sz w:val="18"/>
              </w:rPr>
              <w:t>F: motivazione centrale è non lasciare il cliente senza risposta. Nessun tempo garantito d’intervento formalizzato.</w:t>
            </w:r>
          </w:p>
        </w:tc>
      </w:tr>
      <w:tr>
        <w:trPr>
          <w:cantSplit/>
        </w:trPr>
        <w:tc>
          <w:tcPr>
            <w:tcW w:type="dxa" w:w="3400"/>
          </w:tcPr>
          <w:p>
            <w:pPr>
              <w:spacing w:after="60"/>
            </w:pPr>
            <w:r>
              <w:rPr>
                <w:sz w:val="18"/>
              </w:rPr>
              <w:t>10:20–11:00</w:t>
            </w:r>
          </w:p>
        </w:tc>
        <w:tc>
          <w:tcPr>
            <w:tcW w:type="dxa" w:w="3400"/>
          </w:tcPr>
          <w:p>
            <w:pPr>
              <w:spacing w:after="60"/>
            </w:pPr>
            <w:r>
              <w:rPr>
                <w:sz w:val="18"/>
              </w:rPr>
              <w:t>Fuori orario un assistente automatizzato raccoglie il problema e lo inoltra, anche come messaggio al referente.</w:t>
            </w:r>
          </w:p>
        </w:tc>
        <w:tc>
          <w:tcPr>
            <w:tcW w:type="dxa" w:w="3400"/>
          </w:tcPr>
          <w:p>
            <w:pPr>
              <w:spacing w:after="60"/>
            </w:pPr>
            <w:r>
              <w:rPr>
                <w:sz w:val="18"/>
              </w:rPr>
              <w:t>F: idea esplorativa. Non emerge un sistema capace di diagnosticare o risolvere autonomamente guasti.</w:t>
            </w:r>
          </w:p>
        </w:tc>
      </w:tr>
      <w:tr>
        <w:trPr>
          <w:cantSplit/>
        </w:trPr>
        <w:tc>
          <w:tcPr>
            <w:tcW w:type="dxa" w:w="3400"/>
          </w:tcPr>
          <w:p>
            <w:pPr>
              <w:spacing w:after="60"/>
            </w:pPr>
            <w:r>
              <w:rPr>
                <w:sz w:val="18"/>
              </w:rPr>
              <w:t>11:00–13:15</w:t>
            </w:r>
          </w:p>
        </w:tc>
        <w:tc>
          <w:tcPr>
            <w:tcW w:type="dxa" w:w="3400"/>
          </w:tcPr>
          <w:p>
            <w:pPr>
              <w:spacing w:after="60"/>
            </w:pPr>
            <w:r>
              <w:rPr>
                <w:sz w:val="18"/>
              </w:rPr>
              <w:t>Scadenziario semplice; possibilità di segnare mensilità e collegare l’inquilino, che carica il file del bonifico. Il proprietario vede il documento e un indicatore di pagamento. Le bollette vengono distinte da questa condivisione dell’affitto.</w:t>
            </w:r>
          </w:p>
        </w:tc>
        <w:tc>
          <w:tcPr>
            <w:tcW w:type="dxa" w:w="3400"/>
          </w:tcPr>
          <w:p>
            <w:pPr>
              <w:spacing w:after="60"/>
            </w:pPr>
            <w:r>
              <w:rPr>
                <w:sz w:val="18"/>
              </w:rPr>
              <w:t>F: dettaglio operativo decisivo. Un file caricato non prova automaticamente l’effettivo accredito.</w:t>
            </w:r>
          </w:p>
        </w:tc>
      </w:tr>
      <w:tr>
        <w:trPr>
          <w:cantSplit/>
        </w:trPr>
        <w:tc>
          <w:tcPr>
            <w:tcW w:type="dxa" w:w="3400"/>
          </w:tcPr>
          <w:p>
            <w:pPr>
              <w:spacing w:after="60"/>
            </w:pPr>
            <w:r>
              <w:rPr>
                <w:sz w:val="18"/>
              </w:rPr>
              <w:t>13:15–14:00</w:t>
            </w:r>
          </w:p>
        </w:tc>
        <w:tc>
          <w:tcPr>
            <w:tcW w:type="dxa" w:w="3400"/>
          </w:tcPr>
          <w:p>
            <w:pPr>
              <w:spacing w:after="60"/>
            </w:pPr>
            <w:r>
              <w:rPr>
                <w:sz w:val="18"/>
              </w:rPr>
              <w:t>Piano di investimento e suo aggiornamento annuale.</w:t>
            </w:r>
          </w:p>
        </w:tc>
        <w:tc>
          <w:tcPr>
            <w:tcW w:type="dxa" w:w="3400"/>
          </w:tcPr>
          <w:p>
            <w:pPr>
              <w:spacing w:after="60"/>
            </w:pPr>
            <w:r>
              <w:rPr>
                <w:sz w:val="18"/>
              </w:rPr>
              <w:t>F: nessuna definizione di metodologia, costi, contenuto o responsabilità. Alcune parole sono incerte.</w:t>
            </w:r>
          </w:p>
        </w:tc>
      </w:tr>
      <w:tr>
        <w:trPr>
          <w:cantSplit/>
        </w:trPr>
        <w:tc>
          <w:tcPr>
            <w:tcW w:type="dxa" w:w="3400"/>
          </w:tcPr>
          <w:p>
            <w:pPr>
              <w:spacing w:after="60"/>
            </w:pPr>
            <w:r>
              <w:rPr>
                <w:sz w:val="18"/>
              </w:rPr>
              <w:t>14:00–17:20</w:t>
            </w:r>
          </w:p>
        </w:tc>
        <w:tc>
          <w:tcPr>
            <w:tcW w:type="dxa" w:w="3400"/>
          </w:tcPr>
          <w:p>
            <w:pPr>
              <w:spacing w:after="60"/>
            </w:pPr>
            <w:r>
              <w:rPr>
                <w:sz w:val="18"/>
              </w:rPr>
              <w:t>Riepilogo inquilino; archivio del contratto e delle registrazioni/adempimenti, alimentato dall’agenzia.</w:t>
            </w:r>
          </w:p>
        </w:tc>
        <w:tc>
          <w:tcPr>
            <w:tcW w:type="dxa" w:w="3400"/>
          </w:tcPr>
          <w:p>
            <w:pPr>
              <w:spacing w:after="60"/>
            </w:pPr>
            <w:r>
              <w:rPr>
                <w:sz w:val="18"/>
              </w:rPr>
              <w:t>F: ricostruzione prudente, con pause e parti poco intelligibili. Non si deduce una regola giuridica generale di rinnovo annuale dei contratti.</w:t>
            </w:r>
          </w:p>
        </w:tc>
      </w:tr>
      <w:tr>
        <w:trPr>
          <w:cantSplit/>
        </w:trPr>
        <w:tc>
          <w:tcPr>
            <w:tcW w:type="dxa" w:w="3400"/>
          </w:tcPr>
          <w:p>
            <w:pPr>
              <w:spacing w:after="60"/>
            </w:pPr>
            <w:r>
              <w:rPr>
                <w:sz w:val="18"/>
              </w:rPr>
              <w:t>18:30–22:30</w:t>
            </w:r>
          </w:p>
        </w:tc>
        <w:tc>
          <w:tcPr>
            <w:tcW w:type="dxa" w:w="3400"/>
          </w:tcPr>
          <w:p>
            <w:pPr>
              <w:spacing w:after="60"/>
            </w:pPr>
            <w:r>
              <w:rPr>
                <w:sz w:val="18"/>
              </w:rPr>
              <w:t>Preparazione del riepilogo; card simile nel formato a una carta di credito, richiesta dall’utente, versione digitale in home e consegna fisica per posta.</w:t>
            </w:r>
          </w:p>
        </w:tc>
        <w:tc>
          <w:tcPr>
            <w:tcW w:type="dxa" w:w="3400"/>
          </w:tcPr>
          <w:p>
            <w:pPr>
              <w:spacing w:after="60"/>
            </w:pPr>
            <w:r>
              <w:rPr>
                <w:sz w:val="18"/>
              </w:rPr>
              <w:t>F: convergenza con PDF. La distinzione proprietario/professionista e inquilino/privato è discussa, non è una classificazione da adottare nel software.</w:t>
            </w:r>
          </w:p>
        </w:tc>
      </w:tr>
      <w:tr>
        <w:trPr>
          <w:cantSplit/>
        </w:trPr>
        <w:tc>
          <w:tcPr>
            <w:tcW w:type="dxa" w:w="3400"/>
          </w:tcPr>
          <w:p>
            <w:pPr>
              <w:spacing w:after="60"/>
            </w:pPr>
            <w:r>
              <w:rPr>
                <w:sz w:val="18"/>
              </w:rPr>
              <w:t>22:30–24:18</w:t>
            </w:r>
          </w:p>
        </w:tc>
        <w:tc>
          <w:tcPr>
            <w:tcW w:type="dxa" w:w="3400"/>
          </w:tcPr>
          <w:p>
            <w:pPr>
              <w:spacing w:after="60"/>
            </w:pPr>
            <w:r>
              <w:rPr>
                <w:sz w:val="18"/>
              </w:rPr>
              <w:t>Chiusura, pause e parlato poco ricostruibile.</w:t>
            </w:r>
          </w:p>
        </w:tc>
        <w:tc>
          <w:tcPr>
            <w:tcW w:type="dxa" w:w="3400"/>
          </w:tcPr>
          <w:p>
            <w:pPr>
              <w:spacing w:after="60"/>
            </w:pPr>
            <w:r>
              <w:rPr>
                <w:sz w:val="18"/>
              </w:rPr>
              <w:t>Nessuna decisione ulteriore utilizzabile con sufficiente affidabilità. Non si inventano contenuti per colmare i passaggi incerti.</w:t>
            </w:r>
          </w:p>
        </w:tc>
      </w:tr>
    </w:tbl>
    <w:p/>
    <w:p>
      <w:r>
        <w:t>Passaggi da non usare come prova definitiva: inizio 00:00–00:20; platea della consulenza 04:00–04:30; conteggio e periodicità economica 05:30–06:05; porzioni del riepilogo fra 14:00 e 17:20 e della chiusura. La verifica automatica non permette di sciogliere queste incertezze. Una conferma dei fondatori vale più di un’interpretazione forzata della trascrizione.</w:t>
      </w:r>
    </w:p>
    <w:p>
      <w:pPr>
        <w:pStyle w:val="Heading2"/>
      </w:pPr>
      <w:r>
        <w:t>Convergenze, integrazioni e tensioni</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tcPr>
          <w:p>
            <w:r>
              <w:t>Tema</w:t>
            </w:r>
          </w:p>
        </w:tc>
        <w:tc>
          <w:tcPr>
            <w:tcW w:type="dxa" w:w="3400"/>
          </w:tcPr>
          <w:p>
            <w:r>
              <w:t>Evidenza</w:t>
            </w:r>
          </w:p>
        </w:tc>
        <w:tc>
          <w:tcPr>
            <w:tcW w:type="dxa" w:w="3400"/>
          </w:tcPr>
          <w:p>
            <w:r>
              <w:t>Conseguenza</w:t>
            </w:r>
          </w:p>
        </w:tc>
      </w:tr>
      <w:tr>
        <w:trPr>
          <w:cantSplit/>
        </w:trPr>
        <w:tc>
          <w:tcPr>
            <w:tcW w:type="dxa" w:w="3400"/>
          </w:tcPr>
          <w:p>
            <w:pPr>
              <w:spacing w:after="60"/>
            </w:pPr>
            <w:r>
              <w:rPr>
                <w:sz w:val="18"/>
              </w:rPr>
              <w:t>Prezzi</w:t>
            </w:r>
          </w:p>
        </w:tc>
        <w:tc>
          <w:tcPr>
            <w:tcW w:type="dxa" w:w="3400"/>
          </w:tcPr>
          <w:p>
            <w:pPr>
              <w:spacing w:after="60"/>
            </w:pPr>
            <w:r>
              <w:rPr>
                <w:sz w:val="18"/>
              </w:rPr>
              <w:t>PDF: proprietari 50 €, inquilini 15 €, senza periodicità o unità. Audio: possibile riferimento annuale; intorno a 08:11–08:13 i controlli rendono 20 € per l’inquilino, con affidabilità insufficiente per fissare il prezzo.</w:t>
            </w:r>
          </w:p>
        </w:tc>
        <w:tc>
          <w:tcPr>
            <w:tcW w:type="dxa" w:w="3400"/>
          </w:tcPr>
          <w:p>
            <w:pPr>
              <w:spacing w:after="60"/>
            </w:pPr>
            <w:r>
              <w:rPr>
                <w:sz w:val="18"/>
              </w:rPr>
              <w:t>H: confermare anche 15/20 oltre a periodicità. Con 60 inquilini e 40 proprietari si avrebbero 2.900 € a 15 € oppure 3.200 € a 20 €, non i circa 2.600 dell’esempio. Nessuna fonte prevale automaticamente.</w:t>
            </w:r>
          </w:p>
        </w:tc>
      </w:tr>
      <w:tr>
        <w:trPr>
          <w:cantSplit/>
        </w:trPr>
        <w:tc>
          <w:tcPr>
            <w:tcW w:type="dxa" w:w="3400"/>
          </w:tcPr>
          <w:p>
            <w:pPr>
              <w:spacing w:after="60"/>
            </w:pPr>
            <w:r>
              <w:rPr>
                <w:sz w:val="18"/>
              </w:rPr>
              <w:t>Affitto</w:t>
            </w:r>
          </w:p>
        </w:tc>
        <w:tc>
          <w:tcPr>
            <w:tcW w:type="dxa" w:w="3400"/>
          </w:tcPr>
          <w:p>
            <w:pPr>
              <w:spacing w:after="60"/>
            </w:pPr>
            <w:r>
              <w:rPr>
                <w:sz w:val="18"/>
              </w:rPr>
              <w:t>PDF: pagamento con ricevuta e importazione PDF. Audio: caricamento della prova di bonifico e visibilità condivisa.</w:t>
            </w:r>
          </w:p>
        </w:tc>
        <w:tc>
          <w:tcPr>
            <w:tcW w:type="dxa" w:w="3400"/>
          </w:tcPr>
          <w:p>
            <w:pPr>
              <w:spacing w:after="60"/>
            </w:pPr>
            <w:r>
              <w:rPr>
                <w:sz w:val="18"/>
              </w:rPr>
              <w:t>Due funzioni diverse da specificare: registrazione di evidenza ed esecuzione del pagamento. Non si presume che una cancelli l’altra.</w:t>
            </w:r>
          </w:p>
        </w:tc>
      </w:tr>
      <w:tr>
        <w:trPr>
          <w:cantSplit/>
        </w:trPr>
        <w:tc>
          <w:tcPr>
            <w:tcW w:type="dxa" w:w="3400"/>
          </w:tcPr>
          <w:p>
            <w:pPr>
              <w:spacing w:after="60"/>
            </w:pPr>
            <w:r>
              <w:rPr>
                <w:sz w:val="18"/>
              </w:rPr>
              <w:t>Pronto Tecnico</w:t>
            </w:r>
          </w:p>
        </w:tc>
        <w:tc>
          <w:tcPr>
            <w:tcW w:type="dxa" w:w="3400"/>
          </w:tcPr>
          <w:p>
            <w:pPr>
              <w:spacing w:after="60"/>
            </w:pPr>
            <w:r>
              <w:rPr>
                <w:sz w:val="18"/>
              </w:rPr>
              <w:t>PDF collocato nella home proprietario; audio centrato su cliente lasciato senza risposta.</w:t>
            </w:r>
          </w:p>
        </w:tc>
        <w:tc>
          <w:tcPr>
            <w:tcW w:type="dxa" w:w="3400"/>
          </w:tcPr>
          <w:p>
            <w:pPr>
              <w:spacing w:after="60"/>
            </w:pPr>
            <w:r>
              <w:rPr>
                <w:sz w:val="18"/>
              </w:rPr>
              <w:t>P: permettere all’inquilino di segnalare problemi dell’abitazione, con responsabilità di spesa e autorizzazioni definite.</w:t>
            </w:r>
          </w:p>
        </w:tc>
      </w:tr>
      <w:tr>
        <w:trPr>
          <w:cantSplit/>
        </w:trPr>
        <w:tc>
          <w:tcPr>
            <w:tcW w:type="dxa" w:w="3400"/>
          </w:tcPr>
          <w:p>
            <w:pPr>
              <w:spacing w:after="60"/>
            </w:pPr>
            <w:r>
              <w:rPr>
                <w:sz w:val="18"/>
              </w:rPr>
              <w:t>Consulenza</w:t>
            </w:r>
          </w:p>
        </w:tc>
        <w:tc>
          <w:tcPr>
            <w:tcW w:type="dxa" w:w="3400"/>
          </w:tcPr>
          <w:p>
            <w:pPr>
              <w:spacing w:after="60"/>
            </w:pPr>
            <w:r>
              <w:rPr>
                <w:sz w:val="18"/>
              </w:rPr>
              <w:t>PDF: una all’anno in omaggio per proprietario; audio: possibili formulazioni più ampie.</w:t>
            </w:r>
          </w:p>
        </w:tc>
        <w:tc>
          <w:tcPr>
            <w:tcW w:type="dxa" w:w="3400"/>
          </w:tcPr>
          <w:p>
            <w:pPr>
              <w:spacing w:after="60"/>
            </w:pPr>
            <w:r>
              <w:rPr>
                <w:sz w:val="18"/>
              </w:rPr>
              <w:t>Da confermare platea, durata, contenuto e costo interno. “Omaggio” non significa costo nullo per EECard.</w:t>
            </w:r>
          </w:p>
        </w:tc>
      </w:tr>
      <w:tr>
        <w:trPr>
          <w:cantSplit/>
        </w:trPr>
        <w:tc>
          <w:tcPr>
            <w:tcW w:type="dxa" w:w="3400"/>
          </w:tcPr>
          <w:p>
            <w:pPr>
              <w:spacing w:after="60"/>
            </w:pPr>
            <w:r>
              <w:rPr>
                <w:sz w:val="18"/>
              </w:rPr>
              <w:t>3D e AI</w:t>
            </w:r>
          </w:p>
        </w:tc>
        <w:tc>
          <w:tcPr>
            <w:tcW w:type="dxa" w:w="3400"/>
          </w:tcPr>
          <w:p>
            <w:pPr>
              <w:spacing w:after="60"/>
            </w:pPr>
            <w:r>
              <w:rPr>
                <w:sz w:val="18"/>
              </w:rPr>
              <w:t>Entrambi nel PDF; nell’audio il 3D è riepilogato e l’AI è soprattutto segreteria fuori orario.</w:t>
            </w:r>
          </w:p>
        </w:tc>
        <w:tc>
          <w:tcPr>
            <w:tcW w:type="dxa" w:w="3400"/>
          </w:tcPr>
          <w:p>
            <w:pPr>
              <w:spacing w:after="60"/>
            </w:pPr>
            <w:r>
              <w:rPr>
                <w:sz w:val="18"/>
              </w:rPr>
              <w:t>Non risultano vincoli già concordati sul primo rilascio. Il rinvio o la semplificazione sono proposte di questo studio.</w:t>
            </w:r>
          </w:p>
        </w:tc>
      </w:tr>
      <w:tr>
        <w:trPr>
          <w:cantSplit/>
        </w:trPr>
        <w:tc>
          <w:tcPr>
            <w:tcW w:type="dxa" w:w="3400"/>
          </w:tcPr>
          <w:p>
            <w:pPr>
              <w:spacing w:after="60"/>
            </w:pPr>
            <w:r>
              <w:rPr>
                <w:sz w:val="18"/>
              </w:rPr>
              <w:t>Totem, web e mobile</w:t>
            </w:r>
          </w:p>
        </w:tc>
        <w:tc>
          <w:tcPr>
            <w:tcW w:type="dxa" w:w="3400"/>
          </w:tcPr>
          <w:p>
            <w:pPr>
              <w:spacing w:after="60"/>
            </w:pPr>
            <w:r>
              <w:rPr>
                <w:sz w:val="18"/>
              </w:rPr>
              <w:t>La richiesta attuale introduce esplicitamente web, app mobile e futuri totem. Non ho trovato nell’audio una specifica affidabile dei totem.</w:t>
            </w:r>
          </w:p>
        </w:tc>
        <w:tc>
          <w:tcPr>
            <w:tcW w:type="dxa" w:w="3400"/>
          </w:tcPr>
          <w:p>
            <w:pPr>
              <w:spacing w:after="60"/>
            </w:pPr>
            <w:r>
              <w:rPr>
                <w:sz w:val="18"/>
              </w:rPr>
              <w:t>F della richiesta: mantenere questa visione senza attribuirla retroattivamente alla registrazione.</w:t>
            </w:r>
          </w:p>
        </w:tc>
      </w:tr>
      <w:tr>
        <w:trPr>
          <w:cantSplit/>
        </w:trPr>
        <w:tc>
          <w:tcPr>
            <w:tcW w:type="dxa" w:w="3400"/>
          </w:tcPr>
          <w:p>
            <w:pPr>
              <w:spacing w:after="60"/>
            </w:pPr>
            <w:r>
              <w:rPr>
                <w:sz w:val="18"/>
              </w:rPr>
              <w:t>Gestione del servizio</w:t>
            </w:r>
          </w:p>
        </w:tc>
        <w:tc>
          <w:tcPr>
            <w:tcW w:type="dxa" w:w="3400"/>
          </w:tcPr>
          <w:p>
            <w:pPr>
              <w:spacing w:after="60"/>
            </w:pPr>
            <w:r>
              <w:rPr>
                <w:sz w:val="18"/>
              </w:rPr>
              <w:t>Audio: aspettativa di gestione limitata; servizi proposti: documenti, consulenza, assistenza, partner.</w:t>
            </w:r>
          </w:p>
        </w:tc>
        <w:tc>
          <w:tcPr>
            <w:tcW w:type="dxa" w:w="3400"/>
          </w:tcPr>
          <w:p>
            <w:pPr>
              <w:spacing w:after="60"/>
            </w:pPr>
            <w:r>
              <w:rPr>
                <w:sz w:val="18"/>
              </w:rPr>
              <w:t>I: contraddizione economica e organizzativa importante. La parte operativa va misurata e remunerata.</w:t>
            </w:r>
          </w:p>
        </w:tc>
      </w:tr>
    </w:tbl>
    <w:p/>
    <w:p>
      <w:r>
        <w:t>Orientamenti abbastanza stabili: due destinatari principali; card fisica e digitale; fascicolo documentale; scadenze e prove di pagamento; consulenza; accesso ai tecnici. Non sono decisioni confermate: periodicità delle quote, unità di prezzo, budget, copertura territoriale, tempi di risposta, incasso intermediato, priorità di rilascio e vendita del software ad altre agenzie.</w:t>
      </w:r>
    </w:p>
    <w:p>
      <w:pPr>
        <w:pStyle w:val="Heading1"/>
      </w:pPr>
      <w:r>
        <w:t>2. Definizione del progetto e proposta di valore</w:t>
      </w:r>
    </w:p>
    <w:p>
      <w:r>
        <w:t>P — EECard è un servizio continuativo dell’agenzia per organizzare la vita amministrativa e tecnica di un immobile: conserva i documenti utili, rende leggibili scadenze e stati dei pagamenti, mette in contatto proprietari e inquilini e segue le richieste di assistenza. La card identifica l’adesione e facilita l’accesso ai servizi, online e in presenza.</w:t>
      </w:r>
    </w:p>
    <w:p>
      <w:r>
        <w:t>H — Primo segmento: proprietari con uno o pochi immobili residenziali locati nella zona già servita dall’agenzia, insieme ai loro inquilini. L’audio suggerisce un valore anche per chi abita la propria casa o prepara una vendita: è un segmento successivo o un piccolo gruppo di confronto nel pilota. Italia è il mercato di lavoro ipotizzato, non ancora confermato.</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tcPr>
          <w:p>
            <w:r>
              <w:t>Soggetto</w:t>
            </w:r>
          </w:p>
        </w:tc>
        <w:tc>
          <w:tcPr>
            <w:tcW w:type="dxa" w:w="3400"/>
          </w:tcPr>
          <w:p>
            <w:r>
              <w:t>Problema concreto</w:t>
            </w:r>
          </w:p>
        </w:tc>
        <w:tc>
          <w:tcPr>
            <w:tcW w:type="dxa" w:w="3400"/>
          </w:tcPr>
          <w:p>
            <w:r>
              <w:t>Beneficio acquistabile e prova da cercare</w:t>
            </w:r>
          </w:p>
        </w:tc>
      </w:tr>
      <w:tr>
        <w:trPr>
          <w:cantSplit/>
        </w:trPr>
        <w:tc>
          <w:tcPr>
            <w:tcW w:type="dxa" w:w="3400"/>
          </w:tcPr>
          <w:p>
            <w:pPr>
              <w:spacing w:after="60"/>
            </w:pPr>
            <w:r>
              <w:rPr>
                <w:sz w:val="18"/>
              </w:rPr>
              <w:t>Proprietario</w:t>
            </w:r>
          </w:p>
        </w:tc>
        <w:tc>
          <w:tcPr>
            <w:tcW w:type="dxa" w:w="3400"/>
          </w:tcPr>
          <w:p>
            <w:pPr>
              <w:spacing w:after="60"/>
            </w:pPr>
            <w:r>
              <w:rPr>
                <w:sz w:val="18"/>
              </w:rPr>
              <w:t>Documenti sparsi, scadenze dimenticate, incertezza sugli affitti, difficoltà a coordinare tecnici.</w:t>
            </w:r>
          </w:p>
        </w:tc>
        <w:tc>
          <w:tcPr>
            <w:tcW w:type="dxa" w:w="3400"/>
          </w:tcPr>
          <w:p>
            <w:pPr>
              <w:spacing w:after="60"/>
            </w:pPr>
            <w:r>
              <w:rPr>
                <w:sz w:val="18"/>
              </w:rPr>
              <w:t>Tempo risparmiato e un referente che segue la pratica. Misurare ore, richieste risolte e disponibilità a pagare; nessuna promessa di canone garantito.</w:t>
            </w:r>
          </w:p>
        </w:tc>
      </w:tr>
      <w:tr>
        <w:trPr>
          <w:cantSplit/>
        </w:trPr>
        <w:tc>
          <w:tcPr>
            <w:tcW w:type="dxa" w:w="3400"/>
          </w:tcPr>
          <w:p>
            <w:pPr>
              <w:spacing w:after="60"/>
            </w:pPr>
            <w:r>
              <w:rPr>
                <w:sz w:val="18"/>
              </w:rPr>
              <w:t>Inquilino</w:t>
            </w:r>
          </w:p>
        </w:tc>
        <w:tc>
          <w:tcPr>
            <w:tcW w:type="dxa" w:w="3400"/>
          </w:tcPr>
          <w:p>
            <w:pPr>
              <w:spacing w:after="60"/>
            </w:pPr>
            <w:r>
              <w:rPr>
                <w:sz w:val="18"/>
              </w:rPr>
              <w:t>Non sa dove trovare contratto e ricevute, chi contattare per un guasto o come controllare le scadenze.</w:t>
            </w:r>
          </w:p>
        </w:tc>
        <w:tc>
          <w:tcPr>
            <w:tcW w:type="dxa" w:w="3400"/>
          </w:tcPr>
          <w:p>
            <w:pPr>
              <w:spacing w:after="60"/>
            </w:pPr>
            <w:r>
              <w:rPr>
                <w:sz w:val="18"/>
              </w:rPr>
              <w:t>Accesso facile, risposta e tracciamento. Far pagare il solo caricamento del bonifico rischia di essere percepito come un onere imposto per il vantaggio del proprietario.</w:t>
            </w:r>
          </w:p>
        </w:tc>
      </w:tr>
      <w:tr>
        <w:trPr>
          <w:cantSplit/>
        </w:trPr>
        <w:tc>
          <w:tcPr>
            <w:tcW w:type="dxa" w:w="3400"/>
          </w:tcPr>
          <w:p>
            <w:pPr>
              <w:spacing w:after="60"/>
            </w:pPr>
            <w:r>
              <w:rPr>
                <w:sz w:val="18"/>
              </w:rPr>
              <w:t>Agenzia</w:t>
            </w:r>
          </w:p>
        </w:tc>
        <w:tc>
          <w:tcPr>
            <w:tcW w:type="dxa" w:w="3400"/>
          </w:tcPr>
          <w:p>
            <w:pPr>
              <w:spacing w:after="60"/>
            </w:pPr>
            <w:r>
              <w:rPr>
                <w:sz w:val="18"/>
              </w:rPr>
              <w:t>Relazione che si interrompe dopo il contratto, informazioni disperse fra chat e cartelle, richieste ripetitive.</w:t>
            </w:r>
          </w:p>
        </w:tc>
        <w:tc>
          <w:tcPr>
            <w:tcW w:type="dxa" w:w="3400"/>
          </w:tcPr>
          <w:p>
            <w:pPr>
              <w:spacing w:after="60"/>
            </w:pPr>
            <w:r>
              <w:rPr>
                <w:sz w:val="18"/>
              </w:rPr>
              <w:t>Ricavi ricorrenti, fascicoli pronti e continuità con i clienti; misurare anche carico di lavoro e rinnovi, non solo nuovi contatti commerciali.</w:t>
            </w:r>
          </w:p>
        </w:tc>
      </w:tr>
      <w:tr>
        <w:trPr>
          <w:cantSplit/>
        </w:trPr>
        <w:tc>
          <w:tcPr>
            <w:tcW w:type="dxa" w:w="3400"/>
          </w:tcPr>
          <w:p>
            <w:pPr>
              <w:spacing w:after="60"/>
            </w:pPr>
            <w:r>
              <w:rPr>
                <w:sz w:val="18"/>
              </w:rPr>
              <w:t>Tecnico</w:t>
            </w:r>
          </w:p>
        </w:tc>
        <w:tc>
          <w:tcPr>
            <w:tcW w:type="dxa" w:w="3400"/>
          </w:tcPr>
          <w:p>
            <w:pPr>
              <w:spacing w:after="60"/>
            </w:pPr>
            <w:r>
              <w:rPr>
                <w:sz w:val="18"/>
              </w:rPr>
              <w:t>Segnalazioni incomplete, accessi da concordare, incertezza su autorizzazione e pagamento.</w:t>
            </w:r>
          </w:p>
        </w:tc>
        <w:tc>
          <w:tcPr>
            <w:tcW w:type="dxa" w:w="3400"/>
          </w:tcPr>
          <w:p>
            <w:pPr>
              <w:spacing w:after="60"/>
            </w:pPr>
            <w:r>
              <w:rPr>
                <w:sz w:val="18"/>
              </w:rPr>
              <w:t>Richieste strutturate, referente e preventivo approvato. Il valore non richiede che il tecnico paghi per comparire.</w:t>
            </w:r>
          </w:p>
        </w:tc>
      </w:tr>
    </w:tbl>
    <w:p/>
    <w:p>
      <w:r>
        <w:t>I — Il vantaggio potenziale è la combinazione di conoscenza dell’immobile e responsabilità operativa locale. Il solo archivio, la sola app o la sola tessera sono facilmente sostituibili. Il cliente paga per ottenere un risultato affidabile; app e card devono renderlo semplice da ottenere.</w:t>
      </w:r>
    </w:p>
    <w:p>
      <w:r>
        <w:t>P — L’agenzia assume il ruolo di referente e coordinatore. I professionisti abilitati redigono certificazioni e svolgono consulenze di loro competenza; i tecnici eseguono lavori; il prestatore autorizzato gestisce eventuali pagamenti. Il software organizza accessi, prove, richieste e tracciabilità. Non produce da solo un APE, non assicura l’intervento e non decide chi abbia legalmente ragione in un conflitto locativo.</w:t>
      </w:r>
    </w:p>
    <w:p>
      <w:pPr>
        <w:pStyle w:val="Heading1"/>
      </w:pPr>
      <w:r>
        <w:t>3. Modello commerciale raccomandato</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tcPr>
          <w:p>
            <w:r>
              <w:t>Modello</w:t>
            </w:r>
          </w:p>
        </w:tc>
        <w:tc>
          <w:tcPr>
            <w:tcW w:type="dxa" w:w="3400"/>
          </w:tcPr>
          <w:p>
            <w:r>
              <w:t>Vantaggi</w:t>
            </w:r>
          </w:p>
        </w:tc>
        <w:tc>
          <w:tcPr>
            <w:tcW w:type="dxa" w:w="3400"/>
          </w:tcPr>
          <w:p>
            <w:r>
              <w:t>Condizioni e limiti</w:t>
            </w:r>
          </w:p>
        </w:tc>
      </w:tr>
      <w:tr>
        <w:trPr>
          <w:cantSplit/>
        </w:trPr>
        <w:tc>
          <w:tcPr>
            <w:tcW w:type="dxa" w:w="3400"/>
          </w:tcPr>
          <w:p>
            <w:pPr>
              <w:spacing w:after="60"/>
            </w:pPr>
            <w:r>
              <w:rPr>
                <w:sz w:val="18"/>
              </w:rPr>
              <w:t>Abbonamento ai clienti dell’agenzia</w:t>
            </w:r>
          </w:p>
        </w:tc>
        <w:tc>
          <w:tcPr>
            <w:tcW w:type="dxa" w:w="3400"/>
          </w:tcPr>
          <w:p>
            <w:pPr>
              <w:spacing w:after="60"/>
            </w:pPr>
            <w:r>
              <w:rPr>
                <w:sz w:val="18"/>
              </w:rPr>
              <w:t>Distribuzione immediata, relazione già esistente, controllo diretto sul servizio.</w:t>
            </w:r>
          </w:p>
        </w:tc>
        <w:tc>
          <w:tcPr>
            <w:tcW w:type="dxa" w:w="3400"/>
          </w:tcPr>
          <w:p>
            <w:pPr>
              <w:spacing w:after="60"/>
            </w:pPr>
            <w:r>
              <w:rPr>
                <w:sz w:val="18"/>
              </w:rPr>
              <w:t>Richiede personale, catalogo chiaro e capacità locale. Il fatturato cresce insieme a parte dei costi operativi.</w:t>
            </w:r>
          </w:p>
        </w:tc>
      </w:tr>
      <w:tr>
        <w:trPr>
          <w:cantSplit/>
        </w:trPr>
        <w:tc>
          <w:tcPr>
            <w:tcW w:type="dxa" w:w="3400"/>
          </w:tcPr>
          <w:p>
            <w:pPr>
              <w:spacing w:after="60"/>
            </w:pPr>
            <w:r>
              <w:rPr>
                <w:sz w:val="18"/>
              </w:rPr>
              <w:t>SaaS venduto ad altre agenzie</w:t>
            </w:r>
          </w:p>
        </w:tc>
        <w:tc>
          <w:tcPr>
            <w:tcW w:type="dxa" w:w="3400"/>
          </w:tcPr>
          <w:p>
            <w:pPr>
              <w:spacing w:after="60"/>
            </w:pPr>
            <w:r>
              <w:rPr>
                <w:sz w:val="18"/>
              </w:rPr>
              <w:t>Ricavo software ripetibile; le agenzie possono gestire assistenza e rete tecnica locale.</w:t>
            </w:r>
          </w:p>
        </w:tc>
        <w:tc>
          <w:tcPr>
            <w:tcW w:type="dxa" w:w="3400"/>
          </w:tcPr>
          <w:p>
            <w:pPr>
              <w:spacing w:after="60"/>
            </w:pPr>
            <w:r>
              <w:rPr>
                <w:sz w:val="18"/>
              </w:rPr>
              <w:t>Prima serve un processo ripetibile e dimostrato. Necessari isolamento dei dati, formazione, supporto, configurazioni e accordi; non basta aggiungere un secondo logo.</w:t>
            </w:r>
          </w:p>
        </w:tc>
      </w:tr>
      <w:tr>
        <w:trPr>
          <w:cantSplit/>
        </w:trPr>
        <w:tc>
          <w:tcPr>
            <w:tcW w:type="dxa" w:w="3400"/>
          </w:tcPr>
          <w:p>
            <w:pPr>
              <w:spacing w:after="60"/>
            </w:pPr>
            <w:r>
              <w:rPr>
                <w:sz w:val="18"/>
              </w:rPr>
              <w:t>Misto progressivo</w:t>
            </w:r>
          </w:p>
        </w:tc>
        <w:tc>
          <w:tcPr>
            <w:tcW w:type="dxa" w:w="3400"/>
          </w:tcPr>
          <w:p>
            <w:pPr>
              <w:spacing w:after="60"/>
            </w:pPr>
            <w:r>
              <w:rPr>
                <w:sz w:val="18"/>
              </w:rPr>
              <w:t>La prima agenzia valida il servizio e il software; in seguito altre agenzie acquistano piattaforma e metodo operativo.</w:t>
            </w:r>
          </w:p>
        </w:tc>
        <w:tc>
          <w:tcPr>
            <w:tcW w:type="dxa" w:w="3400"/>
          </w:tcPr>
          <w:p>
            <w:pPr>
              <w:spacing w:after="60"/>
            </w:pPr>
            <w:r>
              <w:rPr>
                <w:sz w:val="18"/>
              </w:rPr>
              <w:t>Occorre separare prezzo del software e costo del servizio. Sviluppare entrambe le attività dal giorno uno disperde risorse e confonde chi risponde al cliente.</w:t>
            </w:r>
          </w:p>
        </w:tc>
      </w:tr>
    </w:tbl>
    <w:p/>
    <w:p>
      <w:r>
        <w:t>P — Raccomando il modello misto progressivo: servizio ai clienti dell’agenzia come punto di partenza, poi software per poche agenzie partner dopo la verifica del pilota. Preparare fin dall’inizio i confini dei dati per agenzia; rimandare fatturazione B2B complessa e configurazioni per reti finché non esiste una domanda pagante.</w:t>
      </w:r>
    </w:p>
    <w:p>
      <w:r>
        <w:t>P — Unità di offerta preferibile da testare: immobile o locazione attiva, con un referente proprietario e accessi personali per comproprietari e conduttori. L’account non coincide con l’abbonamento. Prezzo per immobili aggiuntivi esplicito. Una persona proprietaria di tre case e inquilina di una quarta mantiene un unico accesso con contesti distinti.</w:t>
      </w:r>
    </w:p>
    <w:p>
      <w:r>
        <w:t>P — Confrontare due offerte: A) proprietario paga il servizio e gli inquilini accedono alle funzioni collaborative di base; B) quota inquilino facoltativa per un beneficio aggiuntivo concreto, come assistenza dedicata e gestione utenze. Il documento contrattuale dovuto e la corretta prova dei pagamenti non dovrebbero dipendere dall’acquisto di un pacchetto premium. Questo è un cambiamento proposto rispetto alle due quote del PDF, non una decisione già condivisa.</w:t>
      </w:r>
    </w:p>
    <w:p>
      <w:pPr>
        <w:pStyle w:val="Heading1"/>
      </w:pPr>
      <w:r>
        <w:t>4. Mercato e alternative verificate</w:t>
      </w:r>
    </w:p>
    <w:p>
      <w:r>
        <w:t>Ricerca documentale aggiornata al 5 ottobre 2026 su pagine dei fornitori e fonti istituzionali. Le caratteristiche descritte sono dichiarazioni pubbliche, non il risultato di un collaudo dei prodotti. “Non verificato” significa assenza di evidenza nelle pagine consultate, non assenza certa della funzione. Il campione non è un censimento esaustivo del mercato.</w:t>
      </w:r>
    </w:p>
    <w:tbl>
      <w:tblPr>
        <w:tblStyle w:val="LightShading-Accent1"/>
        <w:tblW w:type="auto" w:w="0"/>
        <w:tblLook w:firstColumn="1" w:firstRow="1" w:lastColumn="0" w:lastRow="0" w:noHBand="0" w:noVBand="1" w:val="04A0"/>
      </w:tblPr>
      <w:tblGrid>
        <w:gridCol w:w="2550"/>
        <w:gridCol w:w="2550"/>
        <w:gridCol w:w="2550"/>
        <w:gridCol w:w="2550"/>
      </w:tblGrid>
      <w:tr>
        <w:trPr>
          <w:tblHeader/>
        </w:trPr>
        <w:tc>
          <w:tcPr>
            <w:tcW w:type="dxa" w:w="2550"/>
          </w:tcPr>
          <w:p>
            <w:r>
              <w:t>Alternativa e tipo</w:t>
            </w:r>
          </w:p>
        </w:tc>
        <w:tc>
          <w:tcPr>
            <w:tcW w:type="dxa" w:w="2550"/>
          </w:tcPr>
          <w:p>
            <w:r>
              <w:t>Locazioni e documenti</w:t>
            </w:r>
          </w:p>
        </w:tc>
        <w:tc>
          <w:tcPr>
            <w:tcW w:type="dxa" w:w="2550"/>
          </w:tcPr>
          <w:p>
            <w:r>
              <w:t>Pagamenti</w:t>
            </w:r>
          </w:p>
        </w:tc>
        <w:tc>
          <w:tcPr>
            <w:tcW w:type="dxa" w:w="2550"/>
          </w:tcPr>
          <w:p>
            <w:r>
              <w:t>Assistenza e rapporto con agenzia</w:t>
            </w:r>
          </w:p>
        </w:tc>
      </w:tr>
      <w:tr>
        <w:trPr>
          <w:cantSplit/>
        </w:trPr>
        <w:tc>
          <w:tcPr>
            <w:tcW w:type="dxa" w:w="2550"/>
          </w:tcPr>
          <w:p>
            <w:pPr>
              <w:spacing w:after="60"/>
            </w:pPr>
            <w:r>
              <w:rPr>
                <w:sz w:val="18"/>
              </w:rPr>
              <w:t>Rentila — concorrente funzionale diretto per il software</w:t>
            </w:r>
          </w:p>
        </w:tc>
        <w:tc>
          <w:tcPr>
            <w:tcW w:type="dxa" w:w="2550"/>
          </w:tcPr>
          <w:p>
            <w:pPr>
              <w:spacing w:after="60"/>
            </w:pPr>
            <w:r>
              <w:rPr>
                <w:sz w:val="18"/>
              </w:rPr>
              <w:t>Immobili, contratti, inquilini, documenti condivisi, ricevute e promemoria; supporto a più proprietari.</w:t>
            </w:r>
          </w:p>
        </w:tc>
        <w:tc>
          <w:tcPr>
            <w:tcW w:type="dxa" w:w="2550"/>
          </w:tcPr>
          <w:p>
            <w:pPr>
              <w:spacing w:after="60"/>
            </w:pPr>
            <w:r>
              <w:rPr>
                <w:sz w:val="18"/>
              </w:rPr>
              <w:t>Registrazione pagamenti; importazione/sincronizzazione bancaria in offerte specifiche. Non equiparare contabilità a un servizio universale di pagamento bollette.</w:t>
            </w:r>
          </w:p>
        </w:tc>
        <w:tc>
          <w:tcPr>
            <w:tcW w:type="dxa" w:w="2550"/>
          </w:tcPr>
          <w:p>
            <w:pPr>
              <w:spacing w:after="60"/>
            </w:pPr>
            <w:r>
              <w:rPr>
                <w:sz w:val="18"/>
              </w:rPr>
              <w:t>Interventi e attività nel software; non emerge dalle pagine consultate una rete locale di riparatori garantita. Relazione soprattutto locatore–inquilino.</w:t>
            </w:r>
          </w:p>
        </w:tc>
      </w:tr>
      <w:tr>
        <w:trPr>
          <w:cantSplit/>
        </w:trPr>
        <w:tc>
          <w:tcPr>
            <w:tcW w:type="dxa" w:w="2550"/>
          </w:tcPr>
          <w:p>
            <w:pPr>
              <w:spacing w:after="60"/>
            </w:pPr>
            <w:r>
              <w:rPr>
                <w:sz w:val="18"/>
              </w:rPr>
              <w:t>SoloAffittiPAY — concorrente diretto sul servizio al locatore</w:t>
            </w:r>
          </w:p>
        </w:tc>
        <w:tc>
          <w:tcPr>
            <w:tcW w:type="dxa" w:w="2550"/>
          </w:tcPr>
          <w:p>
            <w:pPr>
              <w:spacing w:after="60"/>
            </w:pPr>
            <w:r>
              <w:rPr>
                <w:sz w:val="18"/>
              </w:rPr>
              <w:t>Stipula, firma e registrazione secondo il piano; consulente e servizi di gestione.</w:t>
            </w:r>
          </w:p>
        </w:tc>
        <w:tc>
          <w:tcPr>
            <w:tcW w:type="dxa" w:w="2550"/>
          </w:tcPr>
          <w:p>
            <w:pPr>
              <w:spacing w:after="60"/>
            </w:pPr>
            <w:r>
              <w:rPr>
                <w:sz w:val="18"/>
              </w:rPr>
              <w:t>Gestione incasso e versamento al proprietario; promessa di tutela della rendita secondo condizioni.</w:t>
            </w:r>
          </w:p>
        </w:tc>
        <w:tc>
          <w:tcPr>
            <w:tcW w:type="dxa" w:w="2550"/>
          </w:tcPr>
          <w:p>
            <w:pPr>
              <w:spacing w:after="60"/>
            </w:pPr>
            <w:r>
              <w:rPr>
                <w:sz w:val="18"/>
              </w:rPr>
              <w:t>Rete e consulenti immobiliari. È più ampio sul rischio locativo rispetto a EECard; non attribuire a EECard garanzie equivalenti.</w:t>
            </w:r>
          </w:p>
        </w:tc>
      </w:tr>
      <w:tr>
        <w:trPr>
          <w:cantSplit/>
        </w:trPr>
        <w:tc>
          <w:tcPr>
            <w:tcW w:type="dxa" w:w="2550"/>
          </w:tcPr>
          <w:p>
            <w:pPr>
              <w:spacing w:after="60"/>
            </w:pPr>
            <w:r>
              <w:rPr>
                <w:sz w:val="18"/>
              </w:rPr>
              <w:t>Joivy — servizio sostitutivo di gestione immobiliare</w:t>
            </w:r>
          </w:p>
        </w:tc>
        <w:tc>
          <w:tcPr>
            <w:tcW w:type="dxa" w:w="2550"/>
          </w:tcPr>
          <w:p>
            <w:pPr>
              <w:spacing w:after="60"/>
            </w:pPr>
            <w:r>
              <w:rPr>
                <w:sz w:val="18"/>
              </w:rPr>
              <w:t>Gestione amministrativa e operativa; documenti per i residenti tramite strumenti digitali.</w:t>
            </w:r>
          </w:p>
        </w:tc>
        <w:tc>
          <w:tcPr>
            <w:tcW w:type="dxa" w:w="2550"/>
          </w:tcPr>
          <w:p>
            <w:pPr>
              <w:spacing w:after="60"/>
            </w:pPr>
            <w:r>
              <w:rPr>
                <w:sz w:val="18"/>
              </w:rPr>
              <w:t>Prenotazioni e pagamenti online nel proprio modello operativo.</w:t>
            </w:r>
          </w:p>
        </w:tc>
        <w:tc>
          <w:tcPr>
            <w:tcW w:type="dxa" w:w="2550"/>
          </w:tcPr>
          <w:p>
            <w:pPr>
              <w:spacing w:after="60"/>
            </w:pPr>
            <w:r>
              <w:rPr>
                <w:sz w:val="18"/>
              </w:rPr>
              <w:t>Manutenzione e assistenza ai locatari dichiarata 24/7. Modello di gestione e segmenti diversi, non un SaaS generico per qualsiasi agenzia.</w:t>
            </w:r>
          </w:p>
        </w:tc>
      </w:tr>
      <w:tr>
        <w:trPr>
          <w:cantSplit/>
        </w:trPr>
        <w:tc>
          <w:tcPr>
            <w:tcW w:type="dxa" w:w="2550"/>
          </w:tcPr>
          <w:p>
            <w:pPr>
              <w:spacing w:after="60"/>
            </w:pPr>
            <w:r>
              <w:rPr>
                <w:sz w:val="18"/>
              </w:rPr>
              <w:t>miogest — alternativa parziale per l’agenzia</w:t>
            </w:r>
          </w:p>
        </w:tc>
        <w:tc>
          <w:tcPr>
            <w:tcW w:type="dxa" w:w="2550"/>
          </w:tcPr>
          <w:p>
            <w:pPr>
              <w:spacing w:after="60"/>
            </w:pPr>
            <w:r>
              <w:rPr>
                <w:sz w:val="18"/>
              </w:rPr>
              <w:t>CRM, immobili, clienti, documenti, agenda e pubblicazione annunci.</w:t>
            </w:r>
          </w:p>
        </w:tc>
        <w:tc>
          <w:tcPr>
            <w:tcW w:type="dxa" w:w="2550"/>
          </w:tcPr>
          <w:p>
            <w:pPr>
              <w:spacing w:after="60"/>
            </w:pPr>
            <w:r>
              <w:rPr>
                <w:sz w:val="18"/>
              </w:rPr>
              <w:t>Flusso completo di canoni e bollette per EECard non verificato nelle pagine consultate.</w:t>
            </w:r>
          </w:p>
        </w:tc>
        <w:tc>
          <w:tcPr>
            <w:tcW w:type="dxa" w:w="2550"/>
          </w:tcPr>
          <w:p>
            <w:pPr>
              <w:spacing w:after="60"/>
            </w:pPr>
            <w:r>
              <w:rPr>
                <w:sz w:val="18"/>
              </w:rPr>
              <w:t>Organizza il lavoro commerciale dell’agenzia. Valutare integrazione/esportazione prima di duplicarlo.</w:t>
            </w:r>
          </w:p>
        </w:tc>
      </w:tr>
      <w:tr>
        <w:trPr>
          <w:cantSplit/>
        </w:trPr>
        <w:tc>
          <w:tcPr>
            <w:tcW w:type="dxa" w:w="2550"/>
          </w:tcPr>
          <w:p>
            <w:pPr>
              <w:spacing w:after="60"/>
            </w:pPr>
            <w:r>
              <w:rPr>
                <w:sz w:val="18"/>
              </w:rPr>
              <w:t>Mooney — alternativa parziale nei pagamenti</w:t>
            </w:r>
          </w:p>
        </w:tc>
        <w:tc>
          <w:tcPr>
            <w:tcW w:type="dxa" w:w="2550"/>
          </w:tcPr>
          <w:p>
            <w:pPr>
              <w:spacing w:after="60"/>
            </w:pPr>
            <w:r>
              <w:rPr>
                <w:sz w:val="18"/>
              </w:rPr>
              <w:t>Ricevute e statistiche dei pagamenti; non gestione completa del rapporto locativo.</w:t>
            </w:r>
          </w:p>
        </w:tc>
        <w:tc>
          <w:tcPr>
            <w:tcW w:type="dxa" w:w="2550"/>
          </w:tcPr>
          <w:p>
            <w:pPr>
              <w:spacing w:after="60"/>
            </w:pPr>
            <w:r>
              <w:rPr>
                <w:sz w:val="18"/>
              </w:rPr>
              <w:t>Bollette e bollettini tramite app e rete fisica, nei servizi supportati.</w:t>
            </w:r>
          </w:p>
        </w:tc>
        <w:tc>
          <w:tcPr>
            <w:tcW w:type="dxa" w:w="2550"/>
          </w:tcPr>
          <w:p>
            <w:pPr>
              <w:spacing w:after="60"/>
            </w:pPr>
            <w:r>
              <w:rPr>
                <w:sz w:val="18"/>
              </w:rPr>
              <w:t>Dimostra che comodità del pagamento e prossimità sono già offerte acquistabili; partnership tecnica/commerciale da verificare, non presunta.</w:t>
            </w:r>
          </w:p>
        </w:tc>
      </w:tr>
      <w:tr>
        <w:trPr>
          <w:cantSplit/>
        </w:trPr>
        <w:tc>
          <w:tcPr>
            <w:tcW w:type="dxa" w:w="2550"/>
          </w:tcPr>
          <w:p>
            <w:pPr>
              <w:spacing w:after="60"/>
            </w:pPr>
            <w:r>
              <w:rPr>
                <w:sz w:val="18"/>
              </w:rPr>
              <w:t>Enel Assistenza Casa — alternativa parziale nell’assistenza</w:t>
            </w:r>
          </w:p>
        </w:tc>
        <w:tc>
          <w:tcPr>
            <w:tcW w:type="dxa" w:w="2550"/>
          </w:tcPr>
          <w:p>
            <w:pPr>
              <w:spacing w:after="60"/>
            </w:pPr>
            <w:r>
              <w:rPr>
                <w:sz w:val="18"/>
              </w:rPr>
              <w:t>Non è un fascicolo della locazione.</w:t>
            </w:r>
          </w:p>
        </w:tc>
        <w:tc>
          <w:tcPr>
            <w:tcW w:type="dxa" w:w="2550"/>
          </w:tcPr>
          <w:p>
            <w:pPr>
              <w:spacing w:after="60"/>
            </w:pPr>
            <w:r>
              <w:rPr>
                <w:sz w:val="18"/>
              </w:rPr>
              <w:t>Corrispettivo del proprio servizio, non piattaforma generale canoni.</w:t>
            </w:r>
          </w:p>
        </w:tc>
        <w:tc>
          <w:tcPr>
            <w:tcW w:type="dxa" w:w="2550"/>
          </w:tcPr>
          <w:p>
            <w:pPr>
              <w:spacing w:after="60"/>
            </w:pPr>
            <w:r>
              <w:rPr>
                <w:sz w:val="18"/>
              </w:rPr>
              <w:t>Rete tecnica e fino a due interventi annui con massimale dichiarato di 500 € ciascuno, con condizioni/esclusioni. Serve a confrontare la promessa di assistenza, non a equiparare i prodotti.</w:t>
            </w:r>
          </w:p>
        </w:tc>
      </w:tr>
    </w:tbl>
    <w:p/>
    <w:p>
      <w:r>
        <w:t xml:space="preserve">Fonte per destinatari, accessi e gestione del portafoglio: </w:t>
      </w:r>
      <w:hyperlink r:id="rId11">
        <w:r>
          <w:rPr>
            <w:color w:val="006778"/>
          </w:rPr>
          <w:t>Rentila: FAQ</w:t>
        </w:r>
      </w:hyperlink>
    </w:p>
    <w:p>
      <w:r>
        <w:t xml:space="preserve">Fonte per registrazione pagamenti e documenti: </w:t>
      </w:r>
      <w:hyperlink r:id="rId12">
        <w:r>
          <w:rPr>
            <w:color w:val="006778"/>
          </w:rPr>
          <w:t>Rentila: affitti e ricevute</w:t>
        </w:r>
      </w:hyperlink>
    </w:p>
    <w:p>
      <w:r>
        <w:t xml:space="preserve">Fonte per funzioni differenziate per piano, inclusa la sincronizzazione bancaria: </w:t>
      </w:r>
      <w:hyperlink r:id="rId13">
        <w:r>
          <w:rPr>
            <w:color w:val="006778"/>
          </w:rPr>
          <w:t>Rentila: impostazioni e piani</w:t>
        </w:r>
      </w:hyperlink>
    </w:p>
    <w:p>
      <w:r>
        <w:t xml:space="preserve">Fonte per servizi e condizioni commerciali: </w:t>
      </w:r>
      <w:hyperlink r:id="rId14">
        <w:r>
          <w:rPr>
            <w:color w:val="006778"/>
          </w:rPr>
          <w:t>SoloAffittiPAY: pacchetti</w:t>
        </w:r>
      </w:hyperlink>
    </w:p>
    <w:p>
      <w:r>
        <w:t xml:space="preserve">Fonte per gestione e assistenza: </w:t>
      </w:r>
      <w:hyperlink r:id="rId15">
        <w:r>
          <w:rPr>
            <w:color w:val="006778"/>
          </w:rPr>
          <w:t>Joivy: gestione immobiliare</w:t>
        </w:r>
      </w:hyperlink>
    </w:p>
    <w:p>
      <w:r>
        <w:t xml:space="preserve">Fonte per documenti contrattuali nell’app del residente: </w:t>
      </w:r>
      <w:hyperlink r:id="rId16">
        <w:r>
          <w:rPr>
            <w:color w:val="006778"/>
          </w:rPr>
          <w:t>Joivy: documenti di rinnovo</w:t>
        </w:r>
      </w:hyperlink>
    </w:p>
    <w:p>
      <w:r>
        <w:t xml:space="preserve">Fonte per CRM e attività di agenzia: </w:t>
      </w:r>
      <w:hyperlink r:id="rId17">
        <w:r>
          <w:rPr>
            <w:color w:val="006778"/>
          </w:rPr>
          <w:t>miogest: sito ufficiale</w:t>
        </w:r>
      </w:hyperlink>
    </w:p>
    <w:p>
      <w:r>
        <w:t xml:space="preserve">Fonte per pagamenti e ricevute: </w:t>
      </w:r>
      <w:hyperlink r:id="rId18">
        <w:r>
          <w:rPr>
            <w:color w:val="006778"/>
          </w:rPr>
          <w:t>Mooney: app</w:t>
        </w:r>
      </w:hyperlink>
    </w:p>
    <w:p>
      <w:r>
        <w:t xml:space="preserve">Fonte per il perimetro dell’assistenza: </w:t>
      </w:r>
      <w:hyperlink r:id="rId19">
        <w:r>
          <w:rPr>
            <w:color w:val="006778"/>
          </w:rPr>
          <w:t>Enel: Assistenza Casa</w:t>
        </w:r>
      </w:hyperlink>
    </w:p>
    <w:p>
      <w:r>
        <w:t>Prezzi: non si ricostruiscono listini non verificati. Come unico confronto commerciale puntuale, la pagina SoloAffittiPAY consultata pubblicizza il 10% del canone, IVA esclusa, con attivazione distinta pari al 3%, 5% o 8% del canone annuo a seconda del piano. Le condizioni contrattuali vanno verificate; il servizio include tutele diverse e non è confrontabile con 50 € senza sapere periodicità e copertura di EECard. Rentila dichiara una versione gratuita limitata a un immobile: questo rende debole una proposta basata soltanto sull’archivio.</w:t>
      </w:r>
    </w:p>
    <w:p>
      <w:r>
        <w:t xml:space="preserve">Dimensione di contesto: il Censimento 2023 indica il 19,6% delle famiglie in affitto e il 73,9% in proprietà. Sono famiglie, non clienti potenziali paganti di EECard. Fonte: </w:t>
      </w:r>
      <w:hyperlink r:id="rId20">
        <w:r>
          <w:rPr>
            <w:color w:val="006778"/>
          </w:rPr>
          <w:t>Istat: abitazioni occupate 2021–2023</w:t>
        </w:r>
      </w:hyperlink>
    </w:p>
    <w:p>
      <w:r>
        <w:t>P — Stimare il mercato raggiungibile dal basso: immobili eleggibili già seguiti × quota di proprietari contattabili × adesione pagante osservata. Separare il numero di immobili da persone, nuclei e account per non contare due volte i ricavi. Prima della crescita nazionale servono dati locali su portafoglio, concorrenza, guasti, tempi di lavoro e disponibilità a pagare.</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tcPr>
          <w:p>
            <w:r>
              <w:t>Possibile elemento distintivo</w:t>
            </w:r>
          </w:p>
        </w:tc>
        <w:tc>
          <w:tcPr>
            <w:tcW w:type="dxa" w:w="3400"/>
          </w:tcPr>
          <w:p>
            <w:r>
              <w:t>Perché è ancora un’ipotesi</w:t>
            </w:r>
          </w:p>
        </w:tc>
        <w:tc>
          <w:tcPr>
            <w:tcW w:type="dxa" w:w="3400"/>
          </w:tcPr>
          <w:p>
            <w:r>
              <w:t>Prova richiesta</w:t>
            </w:r>
          </w:p>
        </w:tc>
      </w:tr>
      <w:tr>
        <w:trPr>
          <w:cantSplit/>
        </w:trPr>
        <w:tc>
          <w:tcPr>
            <w:tcW w:type="dxa" w:w="3400"/>
          </w:tcPr>
          <w:p>
            <w:pPr>
              <w:spacing w:after="60"/>
            </w:pPr>
            <w:r>
              <w:rPr>
                <w:sz w:val="18"/>
              </w:rPr>
              <w:t>Un referente locale che segue fino alla chiusura</w:t>
            </w:r>
          </w:p>
        </w:tc>
        <w:tc>
          <w:tcPr>
            <w:tcW w:type="dxa" w:w="3400"/>
          </w:tcPr>
          <w:p>
            <w:pPr>
              <w:spacing w:after="60"/>
            </w:pPr>
            <w:r>
              <w:rPr>
                <w:sz w:val="18"/>
              </w:rPr>
              <w:t>Un’agenda di tecnici non dimostra che risponderanno.</w:t>
            </w:r>
          </w:p>
        </w:tc>
        <w:tc>
          <w:tcPr>
            <w:tcW w:type="dxa" w:w="3400"/>
          </w:tcPr>
          <w:p>
            <w:pPr>
              <w:spacing w:after="60"/>
            </w:pPr>
            <w:r>
              <w:rPr>
                <w:sz w:val="18"/>
              </w:rPr>
              <w:t>Tempi reali, percentuale richieste chiuse e rinnovi pagati.</w:t>
            </w:r>
          </w:p>
        </w:tc>
      </w:tr>
      <w:tr>
        <w:trPr>
          <w:cantSplit/>
        </w:trPr>
        <w:tc>
          <w:tcPr>
            <w:tcW w:type="dxa" w:w="3400"/>
          </w:tcPr>
          <w:p>
            <w:pPr>
              <w:spacing w:after="60"/>
            </w:pPr>
            <w:r>
              <w:rPr>
                <w:sz w:val="18"/>
              </w:rPr>
              <w:t>Fascicolo utile durante tutta la vita della casa</w:t>
            </w:r>
          </w:p>
        </w:tc>
        <w:tc>
          <w:tcPr>
            <w:tcW w:type="dxa" w:w="3400"/>
          </w:tcPr>
          <w:p>
            <w:pPr>
              <w:spacing w:after="60"/>
            </w:pPr>
            <w:r>
              <w:rPr>
                <w:sz w:val="18"/>
              </w:rPr>
              <w:t>I documenti devono essere completi, aggiornati e accessibili.</w:t>
            </w:r>
          </w:p>
        </w:tc>
        <w:tc>
          <w:tcPr>
            <w:tcW w:type="dxa" w:w="3400"/>
          </w:tcPr>
          <w:p>
            <w:pPr>
              <w:spacing w:after="60"/>
            </w:pPr>
            <w:r>
              <w:rPr>
                <w:sz w:val="18"/>
              </w:rPr>
              <w:t>Riduzione delle ricerche di documenti e utilità nella consulenza/vendita.</w:t>
            </w:r>
          </w:p>
        </w:tc>
      </w:tr>
      <w:tr>
        <w:trPr>
          <w:cantSplit/>
        </w:trPr>
        <w:tc>
          <w:tcPr>
            <w:tcW w:type="dxa" w:w="3400"/>
          </w:tcPr>
          <w:p>
            <w:pPr>
              <w:spacing w:after="60"/>
            </w:pPr>
            <w:r>
              <w:rPr>
                <w:sz w:val="18"/>
              </w:rPr>
              <w:t>Card e canale fisico inclusivi</w:t>
            </w:r>
          </w:p>
        </w:tc>
        <w:tc>
          <w:tcPr>
            <w:tcW w:type="dxa" w:w="3400"/>
          </w:tcPr>
          <w:p>
            <w:pPr>
              <w:spacing w:after="60"/>
            </w:pPr>
            <w:r>
              <w:rPr>
                <w:sz w:val="18"/>
              </w:rPr>
              <w:t>Potrebbero restare solo un elemento estetico.</w:t>
            </w:r>
          </w:p>
        </w:tc>
        <w:tc>
          <w:tcPr>
            <w:tcW w:type="dxa" w:w="3400"/>
          </w:tcPr>
          <w:p>
            <w:pPr>
              <w:spacing w:after="60"/>
            </w:pPr>
            <w:r>
              <w:rPr>
                <w:sz w:val="18"/>
              </w:rPr>
              <w:t>Uso effettivo e vantaggio per utenti che preferiscono l’agenzia al telefono.</w:t>
            </w:r>
          </w:p>
        </w:tc>
      </w:tr>
      <w:tr>
        <w:trPr>
          <w:cantSplit/>
        </w:trPr>
        <w:tc>
          <w:tcPr>
            <w:tcW w:type="dxa" w:w="3400"/>
          </w:tcPr>
          <w:p>
            <w:pPr>
              <w:spacing w:after="60"/>
            </w:pPr>
            <w:r>
              <w:rPr>
                <w:sz w:val="18"/>
              </w:rPr>
              <w:t>3D integrato alla valorizzazione</w:t>
            </w:r>
          </w:p>
        </w:tc>
        <w:tc>
          <w:tcPr>
            <w:tcW w:type="dxa" w:w="3400"/>
          </w:tcPr>
          <w:p>
            <w:pPr>
              <w:spacing w:after="60"/>
            </w:pPr>
            <w:r>
              <w:rPr>
                <w:sz w:val="18"/>
              </w:rPr>
              <w:t>Impatto visivo non equivale a uso ricorrente.</w:t>
            </w:r>
          </w:p>
        </w:tc>
        <w:tc>
          <w:tcPr>
            <w:tcW w:type="dxa" w:w="3400"/>
          </w:tcPr>
          <w:p>
            <w:pPr>
              <w:spacing w:after="60"/>
            </w:pPr>
            <w:r>
              <w:rPr>
                <w:sz w:val="18"/>
              </w:rPr>
              <w:t>Prenotazioni, incarichi o disponibilità a pagare attribuibili al servizio.</w:t>
            </w:r>
          </w:p>
        </w:tc>
      </w:tr>
      <w:tr>
        <w:trPr>
          <w:cantSplit/>
        </w:trPr>
        <w:tc>
          <w:tcPr>
            <w:tcW w:type="dxa" w:w="3400"/>
          </w:tcPr>
          <w:p>
            <w:pPr>
              <w:spacing w:after="60"/>
            </w:pPr>
            <w:r>
              <w:rPr>
                <w:sz w:val="18"/>
              </w:rPr>
              <w:t>Bollette integrate alla relazione immobiliare</w:t>
            </w:r>
          </w:p>
        </w:tc>
        <w:tc>
          <w:tcPr>
            <w:tcW w:type="dxa" w:w="3400"/>
          </w:tcPr>
          <w:p>
            <w:pPr>
              <w:spacing w:after="60"/>
            </w:pPr>
            <w:r>
              <w:rPr>
                <w:sz w:val="18"/>
              </w:rPr>
              <w:t>Banca e app specializzate sono già alternative forti.</w:t>
            </w:r>
          </w:p>
        </w:tc>
        <w:tc>
          <w:tcPr>
            <w:tcW w:type="dxa" w:w="3400"/>
          </w:tcPr>
          <w:p>
            <w:pPr>
              <w:spacing w:after="60"/>
            </w:pPr>
            <w:r>
              <w:rPr>
                <w:sz w:val="18"/>
              </w:rPr>
              <w:t>Risparmio concreto di tempo/costi e disponibilità a cambiare abitudine.</w:t>
            </w:r>
          </w:p>
        </w:tc>
      </w:tr>
    </w:tbl>
    <w:p/>
    <w:p>
      <w:pPr>
        <w:pStyle w:val="Heading1"/>
      </w:pPr>
      <w:r>
        <w:t>5. Catalogo servizi e prima versione vendibile</w:t>
      </w:r>
    </w:p>
    <w:p>
      <w:r>
        <w:t>P — Priorità: V1 = necessaria per la proposta raccomandata; V1 condizionata = entra subito se è la promessa commerciale scelta e sono disponibili le dipendenze; successiva = proposta di rilascio dopo prova del bisogno. Complessità B/M/A = bassa/media/alta relativa, considerando anche organizzazione e responsabilità. Non sono stime di costo.</w:t>
      </w:r>
    </w:p>
    <w:tbl>
      <w:tblPr>
        <w:tblStyle w:val="LightShading-Accent1"/>
        <w:tblW w:type="auto" w:w="0"/>
        <w:tblLook w:firstColumn="1" w:firstRow="1" w:lastColumn="0" w:lastRow="0" w:noHBand="0" w:noVBand="1" w:val="04A0"/>
      </w:tblPr>
      <w:tblGrid>
        <w:gridCol w:w="2550"/>
        <w:gridCol w:w="2550"/>
        <w:gridCol w:w="2550"/>
        <w:gridCol w:w="2550"/>
      </w:tblGrid>
      <w:tr>
        <w:trPr>
          <w:tblHeader/>
        </w:trPr>
        <w:tc>
          <w:tcPr>
            <w:tcW w:type="dxa" w:w="2550"/>
          </w:tcPr>
          <w:p>
            <w:r>
              <w:t>Servizio / fonte</w:t>
            </w:r>
          </w:p>
        </w:tc>
        <w:tc>
          <w:tcPr>
            <w:tcW w:type="dxa" w:w="2550"/>
          </w:tcPr>
          <w:p>
            <w:r>
              <w:t>Utente e funzionamento</w:t>
            </w:r>
          </w:p>
        </w:tc>
        <w:tc>
          <w:tcPr>
            <w:tcW w:type="dxa" w:w="2550"/>
          </w:tcPr>
          <w:p>
            <w:r>
              <w:t>Responsabile / dipendenze</w:t>
            </w:r>
          </w:p>
        </w:tc>
        <w:tc>
          <w:tcPr>
            <w:tcW w:type="dxa" w:w="2550"/>
          </w:tcPr>
          <w:p>
            <w:r>
              <w:t>Complessità, priorità e motivo</w:t>
            </w:r>
          </w:p>
        </w:tc>
      </w:tr>
      <w:tr>
        <w:trPr>
          <w:cantSplit/>
        </w:trPr>
        <w:tc>
          <w:tcPr>
            <w:tcW w:type="dxa" w:w="2550"/>
          </w:tcPr>
          <w:p>
            <w:pPr>
              <w:spacing w:after="60"/>
            </w:pPr>
            <w:r>
              <w:rPr>
                <w:sz w:val="18"/>
              </w:rPr>
              <w:t>Registrazione, profili e attivazione — PDF/audio</w:t>
            </w:r>
          </w:p>
        </w:tc>
        <w:tc>
          <w:tcPr>
            <w:tcW w:type="dxa" w:w="2550"/>
          </w:tcPr>
          <w:p>
            <w:pPr>
              <w:spacing w:after="60"/>
            </w:pPr>
            <w:r>
              <w:rPr>
                <w:sz w:val="18"/>
              </w:rPr>
              <w:t>Tutti: identità personale, contesti e diritti verificati prima di mostrare immobili.</w:t>
            </w:r>
          </w:p>
        </w:tc>
        <w:tc>
          <w:tcPr>
            <w:tcW w:type="dxa" w:w="2550"/>
          </w:tcPr>
          <w:p>
            <w:pPr>
              <w:spacing w:after="60"/>
            </w:pPr>
            <w:r>
              <w:rPr>
                <w:sz w:val="18"/>
              </w:rPr>
              <w:t>Agenzia verifica legame e mandato; software gestisce inviti, autenticazione e stato abbonamento.</w:t>
            </w:r>
          </w:p>
        </w:tc>
        <w:tc>
          <w:tcPr>
            <w:tcW w:type="dxa" w:w="2550"/>
          </w:tcPr>
          <w:p>
            <w:pPr>
              <w:spacing w:after="60"/>
            </w:pPr>
            <w:r>
              <w:rPr>
                <w:sz w:val="18"/>
              </w:rPr>
              <w:t>M, V1. Fondamento di riservatezza e operatività.</w:t>
            </w:r>
          </w:p>
        </w:tc>
      </w:tr>
      <w:tr>
        <w:trPr>
          <w:cantSplit/>
        </w:trPr>
        <w:tc>
          <w:tcPr>
            <w:tcW w:type="dxa" w:w="2550"/>
          </w:tcPr>
          <w:p>
            <w:pPr>
              <w:spacing w:after="60"/>
            </w:pPr>
            <w:r>
              <w:rPr>
                <w:sz w:val="18"/>
              </w:rPr>
              <w:t>Card digitale e fisica — PDF/audio</w:t>
            </w:r>
          </w:p>
        </w:tc>
        <w:tc>
          <w:tcPr>
            <w:tcW w:type="dxa" w:w="2550"/>
          </w:tcPr>
          <w:p>
            <w:pPr>
              <w:spacing w:after="60"/>
            </w:pPr>
            <w:r>
              <w:rPr>
                <w:sz w:val="18"/>
              </w:rPr>
              <w:t>Tutti: identificativo di adesione, accesso rapido e riconoscimento in agenzia.</w:t>
            </w:r>
          </w:p>
        </w:tc>
        <w:tc>
          <w:tcPr>
            <w:tcW w:type="dxa" w:w="2550"/>
          </w:tcPr>
          <w:p>
            <w:pPr>
              <w:spacing w:after="60"/>
            </w:pPr>
            <w:r>
              <w:rPr>
                <w:sz w:val="18"/>
              </w:rPr>
              <w:t>EECard emette/revoca; fornitore stampa e spedisce; registro card e supporto.</w:t>
            </w:r>
          </w:p>
        </w:tc>
        <w:tc>
          <w:tcPr>
            <w:tcW w:type="dxa" w:w="2550"/>
          </w:tcPr>
          <w:p>
            <w:pPr>
              <w:spacing w:after="60"/>
            </w:pPr>
            <w:r>
              <w:rPr>
                <w:sz w:val="18"/>
              </w:rPr>
              <w:t>M, V1. Digitale immediata; fisica su richiesta per misurarne l’utilità.</w:t>
            </w:r>
          </w:p>
        </w:tc>
      </w:tr>
      <w:tr>
        <w:trPr>
          <w:cantSplit/>
        </w:trPr>
        <w:tc>
          <w:tcPr>
            <w:tcW w:type="dxa" w:w="2550"/>
          </w:tcPr>
          <w:p>
            <w:pPr>
              <w:spacing w:after="60"/>
            </w:pPr>
            <w:r>
              <w:rPr>
                <w:sz w:val="18"/>
              </w:rPr>
              <w:t>Fascicolo immobile e certificati — PDF/audio</w:t>
            </w:r>
          </w:p>
        </w:tc>
        <w:tc>
          <w:tcPr>
            <w:tcW w:type="dxa" w:w="2550"/>
          </w:tcPr>
          <w:p>
            <w:pPr>
              <w:spacing w:after="60"/>
            </w:pPr>
            <w:r>
              <w:rPr>
                <w:sz w:val="18"/>
              </w:rPr>
              <w:t>Proprietario: APE, documenti tecnici, planimetrie e stato aggiornamento; inquilino: sottoinsieme pertinente.</w:t>
            </w:r>
          </w:p>
        </w:tc>
        <w:tc>
          <w:tcPr>
            <w:tcW w:type="dxa" w:w="2550"/>
          </w:tcPr>
          <w:p>
            <w:pPr>
              <w:spacing w:after="60"/>
            </w:pPr>
            <w:r>
              <w:rPr>
                <w:sz w:val="18"/>
              </w:rPr>
              <w:t>Agenzia cura raccolta; tecnico qualificato redige/verifica quando incaricato. Archivio protetto, metadati, versioni.</w:t>
            </w:r>
          </w:p>
        </w:tc>
        <w:tc>
          <w:tcPr>
            <w:tcW w:type="dxa" w:w="2550"/>
          </w:tcPr>
          <w:p>
            <w:pPr>
              <w:spacing w:after="60"/>
            </w:pPr>
            <w:r>
              <w:rPr>
                <w:sz w:val="18"/>
              </w:rPr>
              <w:t>M, V1. Valore fondativo; emissione nuovi certificati a preventivo.</w:t>
            </w:r>
          </w:p>
        </w:tc>
      </w:tr>
      <w:tr>
        <w:trPr>
          <w:cantSplit/>
        </w:trPr>
        <w:tc>
          <w:tcPr>
            <w:tcW w:type="dxa" w:w="2550"/>
          </w:tcPr>
          <w:p>
            <w:pPr>
              <w:spacing w:after="60"/>
            </w:pPr>
            <w:r>
              <w:rPr>
                <w:sz w:val="18"/>
              </w:rPr>
              <w:t>Contratto e registrazioni — PDF/audio</w:t>
            </w:r>
          </w:p>
        </w:tc>
        <w:tc>
          <w:tcPr>
            <w:tcW w:type="dxa" w:w="2550"/>
          </w:tcPr>
          <w:p>
            <w:pPr>
              <w:spacing w:after="60"/>
            </w:pPr>
            <w:r>
              <w:rPr>
                <w:sz w:val="18"/>
              </w:rPr>
              <w:t>Parti: copia del contratto e ricevute/adempimenti successivi collegati alla locazione corretta.</w:t>
            </w:r>
          </w:p>
        </w:tc>
        <w:tc>
          <w:tcPr>
            <w:tcW w:type="dxa" w:w="2550"/>
          </w:tcPr>
          <w:p>
            <w:pPr>
              <w:spacing w:after="60"/>
            </w:pPr>
            <w:r>
              <w:rPr>
                <w:sz w:val="18"/>
              </w:rPr>
              <w:t>Agenzia o incaricato abilitato svolge adempimento; caricamento e controllo ricevute nel software.</w:t>
            </w:r>
          </w:p>
        </w:tc>
        <w:tc>
          <w:tcPr>
            <w:tcW w:type="dxa" w:w="2550"/>
          </w:tcPr>
          <w:p>
            <w:pPr>
              <w:spacing w:after="60"/>
            </w:pPr>
            <w:r>
              <w:rPr>
                <w:sz w:val="18"/>
              </w:rPr>
              <w:t>M, V1. L’archivio non equivale a invio automatico all’Agenzia delle Entrate.</w:t>
            </w:r>
          </w:p>
        </w:tc>
      </w:tr>
      <w:tr>
        <w:trPr>
          <w:cantSplit/>
        </w:trPr>
        <w:tc>
          <w:tcPr>
            <w:tcW w:type="dxa" w:w="2550"/>
          </w:tcPr>
          <w:p>
            <w:pPr>
              <w:spacing w:after="60"/>
            </w:pPr>
            <w:r>
              <w:rPr>
                <w:sz w:val="18"/>
              </w:rPr>
              <w:t>Scadenziario affitti — PDF/audio</w:t>
            </w:r>
          </w:p>
        </w:tc>
        <w:tc>
          <w:tcPr>
            <w:tcW w:type="dxa" w:w="2550"/>
          </w:tcPr>
          <w:p>
            <w:pPr>
              <w:spacing w:after="60"/>
            </w:pPr>
            <w:r>
              <w:rPr>
                <w:sz w:val="18"/>
              </w:rPr>
              <w:t>Parti: canoni dovuti, date e promemoria; agenzia: eccezioni e arretrati da verificare.</w:t>
            </w:r>
          </w:p>
        </w:tc>
        <w:tc>
          <w:tcPr>
            <w:tcW w:type="dxa" w:w="2550"/>
          </w:tcPr>
          <w:p>
            <w:pPr>
              <w:spacing w:after="60"/>
            </w:pPr>
            <w:r>
              <w:rPr>
                <w:sz w:val="18"/>
              </w:rPr>
              <w:t>Agenzia valida contratto, importi e calendario; motore scadenze e notifiche.</w:t>
            </w:r>
          </w:p>
        </w:tc>
        <w:tc>
          <w:tcPr>
            <w:tcW w:type="dxa" w:w="2550"/>
          </w:tcPr>
          <w:p>
            <w:pPr>
              <w:spacing w:after="60"/>
            </w:pPr>
            <w:r>
              <w:rPr>
                <w:sz w:val="18"/>
              </w:rPr>
              <w:t>M, V1. Uso ricorrente misurabile.</w:t>
            </w:r>
          </w:p>
        </w:tc>
      </w:tr>
      <w:tr>
        <w:trPr>
          <w:cantSplit/>
        </w:trPr>
        <w:tc>
          <w:tcPr>
            <w:tcW w:type="dxa" w:w="2550"/>
          </w:tcPr>
          <w:p>
            <w:pPr>
              <w:spacing w:after="60"/>
            </w:pPr>
            <w:r>
              <w:rPr>
                <w:sz w:val="18"/>
              </w:rPr>
              <w:t>Prove di bonifico e visibilità proprietario — PDF/audio</w:t>
            </w:r>
          </w:p>
        </w:tc>
        <w:tc>
          <w:tcPr>
            <w:tcW w:type="dxa" w:w="2550"/>
          </w:tcPr>
          <w:p>
            <w:pPr>
              <w:spacing w:after="60"/>
            </w:pPr>
            <w:r>
              <w:rPr>
                <w:sz w:val="18"/>
              </w:rPr>
              <w:t>Inquilino carica prova; proprietario/operatore autorizzato conferma accredito; storico condiviso.</w:t>
            </w:r>
          </w:p>
        </w:tc>
        <w:tc>
          <w:tcPr>
            <w:tcW w:type="dxa" w:w="2550"/>
          </w:tcPr>
          <w:p>
            <w:pPr>
              <w:spacing w:after="60"/>
            </w:pPr>
            <w:r>
              <w:rPr>
                <w:sz w:val="18"/>
              </w:rPr>
              <w:t>Utente dichiara; beneficiario o riconciliazione bancaria verificano. Permessi e registro eventi.</w:t>
            </w:r>
          </w:p>
        </w:tc>
        <w:tc>
          <w:tcPr>
            <w:tcW w:type="dxa" w:w="2550"/>
          </w:tcPr>
          <w:p>
            <w:pPr>
              <w:spacing w:after="60"/>
            </w:pPr>
            <w:r>
              <w:rPr>
                <w:sz w:val="18"/>
              </w:rPr>
              <w:t>M, V1. Risolve il flusso descritto senza confondere prova e incasso.</w:t>
            </w:r>
          </w:p>
        </w:tc>
      </w:tr>
      <w:tr>
        <w:trPr>
          <w:cantSplit/>
        </w:trPr>
        <w:tc>
          <w:tcPr>
            <w:tcW w:type="dxa" w:w="2550"/>
          </w:tcPr>
          <w:p>
            <w:pPr>
              <w:spacing w:after="60"/>
            </w:pPr>
            <w:r>
              <w:rPr>
                <w:sz w:val="18"/>
              </w:rPr>
              <w:t>Ricevute affitto — PDF</w:t>
            </w:r>
          </w:p>
        </w:tc>
        <w:tc>
          <w:tcPr>
            <w:tcW w:type="dxa" w:w="2550"/>
          </w:tcPr>
          <w:p>
            <w:pPr>
              <w:spacing w:after="60"/>
            </w:pPr>
            <w:r>
              <w:rPr>
                <w:sz w:val="18"/>
              </w:rPr>
              <w:t>Richiesta, approvazione e rilascio della quietanza riferita a importo e periodo.</w:t>
            </w:r>
          </w:p>
        </w:tc>
        <w:tc>
          <w:tcPr>
            <w:tcW w:type="dxa" w:w="2550"/>
          </w:tcPr>
          <w:p>
            <w:pPr>
              <w:spacing w:after="60"/>
            </w:pPr>
            <w:r>
              <w:rPr>
                <w:sz w:val="18"/>
              </w:rPr>
              <w:t>Beneficiario o delegato legittimato; modello, verifiche fiscali, numerazione/versione e attribuzione all’emittente.</w:t>
            </w:r>
          </w:p>
        </w:tc>
        <w:tc>
          <w:tcPr>
            <w:tcW w:type="dxa" w:w="2550"/>
          </w:tcPr>
          <w:p>
            <w:pPr>
              <w:spacing w:after="60"/>
            </w:pPr>
            <w:r>
              <w:rPr>
                <w:sz w:val="18"/>
              </w:rPr>
              <w:t>M, V1 anche con emissione assistita. Il PDF del bonifico resta distinto.</w:t>
            </w:r>
          </w:p>
        </w:tc>
      </w:tr>
      <w:tr>
        <w:trPr>
          <w:cantSplit/>
        </w:trPr>
        <w:tc>
          <w:tcPr>
            <w:tcW w:type="dxa" w:w="2550"/>
          </w:tcPr>
          <w:p>
            <w:pPr>
              <w:spacing w:after="60"/>
            </w:pPr>
            <w:r>
              <w:rPr>
                <w:sz w:val="18"/>
              </w:rPr>
              <w:t>Pagamento affitto integrato — PDF/richiesta</w:t>
            </w:r>
          </w:p>
        </w:tc>
        <w:tc>
          <w:tcPr>
            <w:tcW w:type="dxa" w:w="2550"/>
          </w:tcPr>
          <w:p>
            <w:pPr>
              <w:spacing w:after="60"/>
            </w:pPr>
            <w:r>
              <w:rPr>
                <w:sz w:val="18"/>
              </w:rPr>
              <w:t>Inquilino dispone pagamento al beneficiario; EECard riceve esiti e aggiorna la pratica.</w:t>
            </w:r>
          </w:p>
        </w:tc>
        <w:tc>
          <w:tcPr>
            <w:tcW w:type="dxa" w:w="2550"/>
          </w:tcPr>
          <w:p>
            <w:pPr>
              <w:spacing w:after="60"/>
            </w:pPr>
            <w:r>
              <w:rPr>
                <w:sz w:val="18"/>
              </w:rPr>
              <w:t>PSP/banca, accordi e verifica beneficiario; notifiche affidabili degli esiti e riconciliazione.</w:t>
            </w:r>
          </w:p>
        </w:tc>
        <w:tc>
          <w:tcPr>
            <w:tcW w:type="dxa" w:w="2550"/>
          </w:tcPr>
          <w:p>
            <w:pPr>
              <w:spacing w:after="60"/>
            </w:pPr>
            <w:r>
              <w:rPr>
                <w:sz w:val="18"/>
              </w:rPr>
              <w:t>A, V1 condizionata. Essenziale se vendete la promessa “paga qui”; alternativa temporanea: bonifico esterno e verifica assistita.</w:t>
            </w:r>
          </w:p>
        </w:tc>
      </w:tr>
      <w:tr>
        <w:trPr>
          <w:cantSplit/>
        </w:trPr>
        <w:tc>
          <w:tcPr>
            <w:tcW w:type="dxa" w:w="2550"/>
          </w:tcPr>
          <w:p>
            <w:pPr>
              <w:spacing w:after="60"/>
            </w:pPr>
            <w:r>
              <w:rPr>
                <w:sz w:val="18"/>
              </w:rPr>
              <w:t>Bollette e storico spese — PDF/audio</w:t>
            </w:r>
          </w:p>
        </w:tc>
        <w:tc>
          <w:tcPr>
            <w:tcW w:type="dxa" w:w="2550"/>
          </w:tcPr>
          <w:p>
            <w:pPr>
              <w:spacing w:after="60"/>
            </w:pPr>
            <w:r>
              <w:rPr>
                <w:sz w:val="18"/>
              </w:rPr>
              <w:t>Inquilino/intestatario: documento, importo, fornitore, periodo, scadenza e stato.</w:t>
            </w:r>
          </w:p>
        </w:tc>
        <w:tc>
          <w:tcPr>
            <w:tcW w:type="dxa" w:w="2550"/>
          </w:tcPr>
          <w:p>
            <w:pPr>
              <w:spacing w:after="60"/>
            </w:pPr>
            <w:r>
              <w:rPr>
                <w:sz w:val="18"/>
              </w:rPr>
              <w:t>Cliente o agenzia incaricata carica; software ordina; estrazione automatica eventuale da verificare.</w:t>
            </w:r>
          </w:p>
        </w:tc>
        <w:tc>
          <w:tcPr>
            <w:tcW w:type="dxa" w:w="2550"/>
          </w:tcPr>
          <w:p>
            <w:pPr>
              <w:spacing w:after="60"/>
            </w:pPr>
            <w:r>
              <w:rPr>
                <w:sz w:val="18"/>
              </w:rPr>
              <w:t>M, V1. Nessun accesso automatico universale ai portali dei fornitori.</w:t>
            </w:r>
          </w:p>
        </w:tc>
      </w:tr>
      <w:tr>
        <w:trPr>
          <w:cantSplit/>
        </w:trPr>
        <w:tc>
          <w:tcPr>
            <w:tcW w:type="dxa" w:w="2550"/>
          </w:tcPr>
          <w:p>
            <w:pPr>
              <w:spacing w:after="60"/>
            </w:pPr>
            <w:r>
              <w:rPr>
                <w:sz w:val="18"/>
              </w:rPr>
              <w:t>Pagamento bollette — PDF/richiesta</w:t>
            </w:r>
          </w:p>
        </w:tc>
        <w:tc>
          <w:tcPr>
            <w:tcW w:type="dxa" w:w="2550"/>
          </w:tcPr>
          <w:p>
            <w:pPr>
              <w:spacing w:after="60"/>
            </w:pPr>
            <w:r>
              <w:rPr>
                <w:sz w:val="18"/>
              </w:rPr>
              <w:t>Pagamento del tipo di avviso effettivamente supportato e salvataggio del relativo esito.</w:t>
            </w:r>
          </w:p>
        </w:tc>
        <w:tc>
          <w:tcPr>
            <w:tcW w:type="dxa" w:w="2550"/>
          </w:tcPr>
          <w:p>
            <w:pPr>
              <w:spacing w:after="60"/>
            </w:pPr>
            <w:r>
              <w:rPr>
                <w:sz w:val="18"/>
              </w:rPr>
              <w:t>PSP o partner bollettini; copertura beneficiari, commissioni, gestione errori.</w:t>
            </w:r>
          </w:p>
        </w:tc>
        <w:tc>
          <w:tcPr>
            <w:tcW w:type="dxa" w:w="2550"/>
          </w:tcPr>
          <w:p>
            <w:pPr>
              <w:spacing w:after="60"/>
            </w:pPr>
            <w:r>
              <w:rPr>
                <w:sz w:val="18"/>
              </w:rPr>
              <w:t>A, V1 condizionata. Collegamento a canale ufficiale e archivio ricevuta come soluzione temporanea esplicita.</w:t>
            </w:r>
          </w:p>
        </w:tc>
      </w:tr>
      <w:tr>
        <w:trPr>
          <w:cantSplit/>
        </w:trPr>
        <w:tc>
          <w:tcPr>
            <w:tcW w:type="dxa" w:w="2550"/>
          </w:tcPr>
          <w:p>
            <w:pPr>
              <w:spacing w:after="60"/>
            </w:pPr>
            <w:r>
              <w:rPr>
                <w:sz w:val="18"/>
              </w:rPr>
              <w:t>Rubrica tecnici e memoria interventi — audio</w:t>
            </w:r>
          </w:p>
        </w:tc>
        <w:tc>
          <w:tcPr>
            <w:tcW w:type="dxa" w:w="2550"/>
          </w:tcPr>
          <w:p>
            <w:pPr>
              <w:spacing w:after="60"/>
            </w:pPr>
            <w:r>
              <w:rPr>
                <w:sz w:val="18"/>
              </w:rPr>
              <w:t>Parti: trovare chi conosce casa e impianti; vedere interventi e documenti pertinenti.</w:t>
            </w:r>
          </w:p>
        </w:tc>
        <w:tc>
          <w:tcPr>
            <w:tcW w:type="dxa" w:w="2550"/>
          </w:tcPr>
          <w:p>
            <w:pPr>
              <w:spacing w:after="60"/>
            </w:pPr>
            <w:r>
              <w:rPr>
                <w:sz w:val="18"/>
              </w:rPr>
              <w:t>Agenzia mantiene rete, zone, specialità e disponibilità; tecnico aggiorna esito.</w:t>
            </w:r>
          </w:p>
        </w:tc>
        <w:tc>
          <w:tcPr>
            <w:tcW w:type="dxa" w:w="2550"/>
          </w:tcPr>
          <w:p>
            <w:pPr>
              <w:spacing w:after="60"/>
            </w:pPr>
            <w:r>
              <w:rPr>
                <w:sz w:val="18"/>
              </w:rPr>
              <w:t>M, V1. Una rubrica senza aggiornamento ha valore debole.</w:t>
            </w:r>
          </w:p>
        </w:tc>
      </w:tr>
      <w:tr>
        <w:trPr>
          <w:cantSplit/>
        </w:trPr>
        <w:tc>
          <w:tcPr>
            <w:tcW w:type="dxa" w:w="2550"/>
          </w:tcPr>
          <w:p>
            <w:pPr>
              <w:spacing w:after="60"/>
            </w:pPr>
            <w:r>
              <w:rPr>
                <w:sz w:val="18"/>
              </w:rPr>
              <w:t>Pronto Tecnico e deviazione chiamate — PDF/audio</w:t>
            </w:r>
          </w:p>
        </w:tc>
        <w:tc>
          <w:tcPr>
            <w:tcW w:type="dxa" w:w="2550"/>
          </w:tcPr>
          <w:p>
            <w:pPr>
              <w:spacing w:after="60"/>
            </w:pPr>
            <w:r>
              <w:rPr>
                <w:sz w:val="18"/>
              </w:rPr>
              <w:t>Cliente apre richiesta o chiama; mancata risposta diventa pratica assegnata all’agenzia.</w:t>
            </w:r>
          </w:p>
        </w:tc>
        <w:tc>
          <w:tcPr>
            <w:tcW w:type="dxa" w:w="2550"/>
          </w:tcPr>
          <w:p>
            <w:pPr>
              <w:spacing w:after="60"/>
            </w:pPr>
            <w:r>
              <w:rPr>
                <w:sz w:val="18"/>
              </w:rPr>
              <w:t>Agenzia responsabile presa in carico; tecnico esecuzione. Numero gestito da centralino, accordi e sostituti.</w:t>
            </w:r>
          </w:p>
        </w:tc>
        <w:tc>
          <w:tcPr>
            <w:tcW w:type="dxa" w:w="2550"/>
          </w:tcPr>
          <w:p>
            <w:pPr>
              <w:spacing w:after="60"/>
            </w:pPr>
            <w:r>
              <w:rPr>
                <w:sz w:val="18"/>
              </w:rPr>
              <w:t>M software/A operativa, V1. Da un normale link al cellulare non si controlla la deviazione in modo affidabile.</w:t>
            </w:r>
          </w:p>
        </w:tc>
      </w:tr>
      <w:tr>
        <w:trPr>
          <w:cantSplit/>
        </w:trPr>
        <w:tc>
          <w:tcPr>
            <w:tcW w:type="dxa" w:w="2550"/>
          </w:tcPr>
          <w:p>
            <w:pPr>
              <w:spacing w:after="60"/>
            </w:pPr>
            <w:r>
              <w:rPr>
                <w:sz w:val="18"/>
              </w:rPr>
              <w:t>Segreteria AI notturna — PDF/audio</w:t>
            </w:r>
          </w:p>
        </w:tc>
        <w:tc>
          <w:tcPr>
            <w:tcW w:type="dxa" w:w="2550"/>
          </w:tcPr>
          <w:p>
            <w:pPr>
              <w:spacing w:after="60"/>
            </w:pPr>
            <w:r>
              <w:rPr>
                <w:sz w:val="18"/>
              </w:rPr>
              <w:t>Cliente descrive il problema; raccolta dati, riepilogo e inoltro; nessuna promessa autonoma di intervento.</w:t>
            </w:r>
          </w:p>
        </w:tc>
        <w:tc>
          <w:tcPr>
            <w:tcW w:type="dxa" w:w="2550"/>
          </w:tcPr>
          <w:p>
            <w:pPr>
              <w:spacing w:after="60"/>
            </w:pPr>
            <w:r>
              <w:rPr>
                <w:sz w:val="18"/>
              </w:rPr>
              <w:t>Provider voce/AI e referente umano; informativa, flusso di urgenza, errori e tempi di richiamo.</w:t>
            </w:r>
          </w:p>
        </w:tc>
        <w:tc>
          <w:tcPr>
            <w:tcW w:type="dxa" w:w="2550"/>
          </w:tcPr>
          <w:p>
            <w:pPr>
              <w:spacing w:after="60"/>
            </w:pPr>
            <w:r>
              <w:rPr>
                <w:sz w:val="18"/>
              </w:rPr>
              <w:t>A, V1 condizionata. Iniziare con modulo/centralino e segreteria tradizionale se la reperibilità umana non è pronta.</w:t>
            </w:r>
          </w:p>
        </w:tc>
      </w:tr>
      <w:tr>
        <w:trPr>
          <w:cantSplit/>
        </w:trPr>
        <w:tc>
          <w:tcPr>
            <w:tcW w:type="dxa" w:w="2550"/>
          </w:tcPr>
          <w:p>
            <w:pPr>
              <w:spacing w:after="60"/>
            </w:pPr>
            <w:r>
              <w:rPr>
                <w:sz w:val="18"/>
              </w:rPr>
              <w:t>Consulenza master annuale — PDF/audio</w:t>
            </w:r>
          </w:p>
        </w:tc>
        <w:tc>
          <w:tcPr>
            <w:tcW w:type="dxa" w:w="2550"/>
          </w:tcPr>
          <w:p>
            <w:pPr>
              <w:spacing w:after="60"/>
            </w:pPr>
            <w:r>
              <w:rPr>
                <w:sz w:val="18"/>
              </w:rPr>
              <w:t>Proprietario, platea da confermare: prenota e riceve un incontro e un riepilogo di azioni.</w:t>
            </w:r>
          </w:p>
        </w:tc>
        <w:tc>
          <w:tcPr>
            <w:tcW w:type="dxa" w:w="2550"/>
          </w:tcPr>
          <w:p>
            <w:pPr>
              <w:spacing w:after="60"/>
            </w:pPr>
            <w:r>
              <w:rPr>
                <w:sz w:val="18"/>
              </w:rPr>
              <w:t>Consulente dell’agenzia; calendario, capienza, preparazione e tracciamento del beneficio utilizzato.</w:t>
            </w:r>
          </w:p>
        </w:tc>
        <w:tc>
          <w:tcPr>
            <w:tcW w:type="dxa" w:w="2550"/>
          </w:tcPr>
          <w:p>
            <w:pPr>
              <w:spacing w:after="60"/>
            </w:pPr>
            <w:r>
              <w:rPr>
                <w:sz w:val="18"/>
              </w:rPr>
              <w:t>B software/M operativa, V1. Durata, oggetto e una eventuale consulenza specialistica aggiuntiva devono essere chiari.</w:t>
            </w:r>
          </w:p>
        </w:tc>
      </w:tr>
      <w:tr>
        <w:trPr>
          <w:cantSplit/>
        </w:trPr>
        <w:tc>
          <w:tcPr>
            <w:tcW w:type="dxa" w:w="2550"/>
          </w:tcPr>
          <w:p>
            <w:pPr>
              <w:spacing w:after="60"/>
            </w:pPr>
            <w:r>
              <w:rPr>
                <w:sz w:val="18"/>
              </w:rPr>
              <w:t>Piani di investimento e revisione annuale — PDF/audio</w:t>
            </w:r>
          </w:p>
        </w:tc>
        <w:tc>
          <w:tcPr>
            <w:tcW w:type="dxa" w:w="2550"/>
          </w:tcPr>
          <w:p>
            <w:pPr>
              <w:spacing w:after="60"/>
            </w:pPr>
            <w:r>
              <w:rPr>
                <w:sz w:val="18"/>
              </w:rPr>
              <w:t>Proprietario: scenario immobiliare, ipotesi di canoni/costi/lavori, versioni e incontro di revisione.</w:t>
            </w:r>
          </w:p>
        </w:tc>
        <w:tc>
          <w:tcPr>
            <w:tcW w:type="dxa" w:w="2550"/>
          </w:tcPr>
          <w:p>
            <w:pPr>
              <w:spacing w:after="60"/>
            </w:pPr>
            <w:r>
              <w:rPr>
                <w:sz w:val="18"/>
              </w:rPr>
              <w:t>Consulente competente; dati e ipotesi trasparenti, verifica del perimetro professionale.</w:t>
            </w:r>
          </w:p>
        </w:tc>
        <w:tc>
          <w:tcPr>
            <w:tcW w:type="dxa" w:w="2550"/>
          </w:tcPr>
          <w:p>
            <w:pPr>
              <w:spacing w:after="60"/>
            </w:pPr>
            <w:r>
              <w:rPr>
                <w:sz w:val="18"/>
              </w:rPr>
              <w:t>M/A, V1 assistita. Documento predisposto dalla persona; calcolatore evoluto dopo validazione.</w:t>
            </w:r>
          </w:p>
        </w:tc>
      </w:tr>
      <w:tr>
        <w:trPr>
          <w:cantSplit/>
        </w:trPr>
        <w:tc>
          <w:tcPr>
            <w:tcW w:type="dxa" w:w="2550"/>
          </w:tcPr>
          <w:p>
            <w:pPr>
              <w:spacing w:after="60"/>
            </w:pPr>
            <w:r>
              <w:rPr>
                <w:sz w:val="18"/>
              </w:rPr>
              <w:t>Casa 3D con modifiche da planimetria — PDF/audio</w:t>
            </w:r>
          </w:p>
        </w:tc>
        <w:tc>
          <w:tcPr>
            <w:tcW w:type="dxa" w:w="2550"/>
          </w:tcPr>
          <w:p>
            <w:pPr>
              <w:spacing w:after="60"/>
            </w:pPr>
            <w:r>
              <w:rPr>
                <w:sz w:val="18"/>
              </w:rPr>
              <w:t>Proprietario: comprendere disposizione e ipotesi di valorizzazione.</w:t>
            </w:r>
          </w:p>
        </w:tc>
        <w:tc>
          <w:tcPr>
            <w:tcW w:type="dxa" w:w="2550"/>
          </w:tcPr>
          <w:p>
            <w:pPr>
              <w:spacing w:after="60"/>
            </w:pPr>
            <w:r>
              <w:rPr>
                <w:sz w:val="18"/>
              </w:rPr>
              <w:t>Professionista e strumento 3D esterno; pianta, misure, diritti, verifica e costo per immobile.</w:t>
            </w:r>
          </w:p>
        </w:tc>
        <w:tc>
          <w:tcPr>
            <w:tcW w:type="dxa" w:w="2550"/>
          </w:tcPr>
          <w:p>
            <w:pPr>
              <w:spacing w:after="60"/>
            </w:pPr>
            <w:r>
              <w:rPr>
                <w:sz w:val="18"/>
              </w:rPr>
              <w:t>A, V1 condizionata. Per pilota: modello esterno/link o render commissionato, evitando un editor da costruire subito.</w:t>
            </w:r>
          </w:p>
        </w:tc>
      </w:tr>
      <w:tr>
        <w:trPr>
          <w:cantSplit/>
        </w:trPr>
        <w:tc>
          <w:tcPr>
            <w:tcW w:type="dxa" w:w="2550"/>
          </w:tcPr>
          <w:p>
            <w:pPr>
              <w:spacing w:after="60"/>
            </w:pPr>
            <w:r>
              <w:rPr>
                <w:sz w:val="18"/>
              </w:rPr>
              <w:t>Pannello agenzia — audio e requisito derivato</w:t>
            </w:r>
          </w:p>
        </w:tc>
        <w:tc>
          <w:tcPr>
            <w:tcW w:type="dxa" w:w="2550"/>
          </w:tcPr>
          <w:p>
            <w:pPr>
              <w:spacing w:after="60"/>
            </w:pPr>
            <w:r>
              <w:rPr>
                <w:sz w:val="18"/>
              </w:rPr>
              <w:t>Operatori: fascicoli, scadenze, verifica prove, richieste, card e consulenze in un’unica coda di lavoro.</w:t>
            </w:r>
          </w:p>
        </w:tc>
        <w:tc>
          <w:tcPr>
            <w:tcW w:type="dxa" w:w="2550"/>
          </w:tcPr>
          <w:p>
            <w:pPr>
              <w:spacing w:after="60"/>
            </w:pPr>
            <w:r>
              <w:rPr>
                <w:sz w:val="18"/>
              </w:rPr>
              <w:t>Responsabile operativo; ruoli, assegnazioni, registri e report.</w:t>
            </w:r>
          </w:p>
        </w:tc>
        <w:tc>
          <w:tcPr>
            <w:tcW w:type="dxa" w:w="2550"/>
          </w:tcPr>
          <w:p>
            <w:pPr>
              <w:spacing w:after="60"/>
            </w:pPr>
            <w:r>
              <w:rPr>
                <w:sz w:val="18"/>
              </w:rPr>
              <w:t>M/A, V1. Necessario per mantenere la promessa al cliente.</w:t>
            </w:r>
          </w:p>
        </w:tc>
      </w:tr>
      <w:tr>
        <w:trPr>
          <w:cantSplit/>
        </w:trPr>
        <w:tc>
          <w:tcPr>
            <w:tcW w:type="dxa" w:w="2550"/>
          </w:tcPr>
          <w:p>
            <w:pPr>
              <w:spacing w:after="60"/>
            </w:pPr>
            <w:r>
              <w:rPr>
                <w:sz w:val="18"/>
              </w:rPr>
              <w:t>Web, PWA e app store — richiesta/PDF</w:t>
            </w:r>
          </w:p>
        </w:tc>
        <w:tc>
          <w:tcPr>
            <w:tcW w:type="dxa" w:w="2550"/>
          </w:tcPr>
          <w:p>
            <w:pPr>
              <w:spacing w:after="60"/>
            </w:pPr>
            <w:r>
              <w:rPr>
                <w:sz w:val="18"/>
              </w:rPr>
              <w:t>Accesso ai medesimi servizi da dispositivi diversi.</w:t>
            </w:r>
          </w:p>
        </w:tc>
        <w:tc>
          <w:tcPr>
            <w:tcW w:type="dxa" w:w="2550"/>
          </w:tcPr>
          <w:p>
            <w:pPr>
              <w:spacing w:after="60"/>
            </w:pPr>
            <w:r>
              <w:rPr>
                <w:sz w:val="18"/>
              </w:rPr>
              <w:t>Team software; API, compatibilità, distribuzione e assistenza.</w:t>
            </w:r>
          </w:p>
        </w:tc>
        <w:tc>
          <w:tcPr>
            <w:tcW w:type="dxa" w:w="2550"/>
          </w:tcPr>
          <w:p>
            <w:pPr>
              <w:spacing w:after="60"/>
            </w:pPr>
            <w:r>
              <w:rPr>
                <w:sz w:val="18"/>
              </w:rPr>
              <w:t>M/A. PWA proposta V1; app store immediata se uso e integrazioni native ne giustificano costo.</w:t>
            </w:r>
          </w:p>
        </w:tc>
      </w:tr>
      <w:tr>
        <w:trPr>
          <w:cantSplit/>
        </w:trPr>
        <w:tc>
          <w:tcPr>
            <w:tcW w:type="dxa" w:w="2550"/>
          </w:tcPr>
          <w:p>
            <w:pPr>
              <w:spacing w:after="60"/>
            </w:pPr>
            <w:r>
              <w:rPr>
                <w:sz w:val="18"/>
              </w:rPr>
              <w:t>Totem — richiesta attuale</w:t>
            </w:r>
          </w:p>
        </w:tc>
        <w:tc>
          <w:tcPr>
            <w:tcW w:type="dxa" w:w="2550"/>
          </w:tcPr>
          <w:p>
            <w:pPr>
              <w:spacing w:after="60"/>
            </w:pPr>
            <w:r>
              <w:rPr>
                <w:sz w:val="18"/>
              </w:rPr>
              <w:t>Cliente si identifica, consulta servizi consentiti ed eventualmente paga tramite partner.</w:t>
            </w:r>
          </w:p>
        </w:tc>
        <w:tc>
          <w:tcPr>
            <w:tcW w:type="dxa" w:w="2550"/>
          </w:tcPr>
          <w:p>
            <w:pPr>
              <w:spacing w:after="60"/>
            </w:pPr>
            <w:r>
              <w:rPr>
                <w:sz w:val="18"/>
              </w:rPr>
              <w:t>EECard, sede e fornitore hardware/PSP; gestione dispositivi, privacy, accessibilità e manutenzione.</w:t>
            </w:r>
          </w:p>
        </w:tc>
        <w:tc>
          <w:tcPr>
            <w:tcW w:type="dxa" w:w="2550"/>
          </w:tcPr>
          <w:p>
            <w:pPr>
              <w:spacing w:after="60"/>
            </w:pPr>
            <w:r>
              <w:rPr>
                <w:sz w:val="18"/>
              </w:rPr>
              <w:t>A, successiva. Predisporre identità/card/API ora; hardware dopo test della domanda.</w:t>
            </w:r>
          </w:p>
        </w:tc>
      </w:tr>
    </w:tbl>
    <w:p/>
    <w:p>
      <w:r>
        <w:t>La prima versione raccomandata è vendibile se permette di attivare un immobile, trovare i documenti, vedere una scadenza, dichiarare e verificare un pagamento, chiedere aiuto e ricevere una presa in carico reale. Comprende card, prenotazione consulenza e pannello dell’agenzia. Se i primi clienti pagano soprattutto per bollette integrate o 3D, il perimetro deve includere un partner adeguato fin dalla V1: in quel caso ridurre altre funzioni e ricalcolare tempi e margini, senza vendere una promessa ridotta sotto lo stesso nome.</w:t>
      </w:r>
    </w:p>
    <w:p>
      <w:r>
        <w:t xml:space="preserve">Per il 3D esistono editor integrabili ed esportazioni 2D/3D, ad esempio Floorplanner. Questo verifica l’esistenza dell’alternativa, non il prezzo né una conversione automatica affidabile di qualsiasi planimetria: </w:t>
      </w:r>
      <w:hyperlink r:id="rId21">
        <w:r>
          <w:rPr>
            <w:color w:val="006778"/>
          </w:rPr>
          <w:t>Floorplanner: integrazioni</w:t>
        </w:r>
      </w:hyperlink>
    </w:p>
    <w:p>
      <w:r>
        <w:t>Compromessi espliciti: bonifico esterno significa un passaggio fuori da EECard e verifica meno automatica; PWA significa meno presenza negli store e alcune differenze di dispositivo; segreteria significa risposta differita; render esterno significa meno interattività. Misurare queste rinunce nel pilota e anticipare la funzione se impediscono di vendere o usare il servizio.</w:t>
      </w:r>
    </w:p>
    <w:p>
      <w:pPr>
        <w:pStyle w:val="Heading1"/>
      </w:pPr>
      <w:r>
        <w:t>6. Percorsi completi, errori ed eccezioni</w:t>
      </w:r>
    </w:p>
    <w:p>
      <w:pPr>
        <w:pStyle w:val="Heading2"/>
      </w:pPr>
      <w:r>
        <w:t>6.1 Registrazione, verifica e attivazione</w:t>
      </w:r>
    </w:p>
    <w:p>
      <w:r>
        <w:t>Invito dell’agenzia o registrazione spontanea → verifica del recapito → informativa e condizioni → richiesta dei ruoli → verifica del rapporto con immobile/contratto da parte dell’agenzia → scelta del pacchetto e accettazione del prezzo completo → pagamento della quota tramite PSP → attivazione dei diritti. La verifica del telefono non dimostra la proprietà. Per il pilota privilegiare clienti già conosciuti e inviti assistiti; richiedere documenti aggiuntivi solo quando necessari.</w:t>
      </w:r>
    </w:p>
    <w:p>
      <w:r>
        <w:t>Errori: invito scaduto, indirizzo errato, persona già registrata, omonimia, quota fallita, collegamento contestato. Mostrare lo stato e un referente; nessun documento privato prima della verifica. Un nuovo tentativo di pagamento non deve generare due abbonamenti. Il mancato pagamento della quota non cancella automaticamente il rapporto locativo né gli obblighi documentali.</w:t>
      </w:r>
    </w:p>
    <w:p>
      <w:pPr>
        <w:pStyle w:val="Heading2"/>
      </w:pPr>
      <w:r>
        <w:t>6.2 Proprietari, immobile, contratto e conduttori</w:t>
      </w:r>
    </w:p>
    <w:p>
      <w:r>
        <w:t>L’agenzia crea o deduplica l’immobile e le eventuali unità, associa titolari e delegati con date di validità, poi il contratto e tutte le parti. Invita ogni persona separatamente. Comproprietà, deleghe e quote economiche non si deducono dal primo utente registrato. Più inquilini possono appartenere allo stesso contratto; l’eventuale ripartizione informativa dei canoni non modifica la responsabilità contrattuale.</w:t>
      </w:r>
    </w:p>
    <w:p>
      <w:r>
        <w:t>Errori: due schede per lo stesso appartamento, contratti sovrapposti, subentro, locazione di stanza, comproprietario non consenziente o mandato scaduto. V1: supportare più parti e più immobili; per locazioni parziali registrare esplicitamente l’ambito, evitando un blocco indiscriminato delle sovrapposizioni. Le modifiche sensibili entrano in revisione e lasciano uno storico.</w:t>
      </w:r>
    </w:p>
    <w:p>
      <w:pPr>
        <w:pStyle w:val="Heading2"/>
      </w:pPr>
      <w:r>
        <w:t>6.3 Richiesta, consegna e vita della card</w:t>
      </w:r>
    </w:p>
    <w:p>
      <w:r>
        <w:t>Card digitale attiva dopo l’abilitazione. Richiesta fisica → conferma indirizzo o ritiro in sede, costo e tempi → produzione con identificativo casuale → spedizione/ritiro → conferma ricezione → attivazione della credenziale fisica con utente autenticato o verifica assistita. La card apre il servizio o identifica la pratica; per leggere dati o autorizzare operazioni serve l’autenticazione richiesta.</w:t>
      </w:r>
    </w:p>
    <w:p>
      <w:r>
        <w:t>Smarrimento: blocco immediato della credenziale fisica, anche tramite assistenza dopo verifica; revoca delle sessioni se si sospetta compromissione. Il cliente può continuare con un accesso digitale verificato. Sostituzione con nuovo identificativo; quello vecchio resta revocato anche se ritrovato. Gestire consegna fallita, duplicato e costi di riemissione. Ogni delegato usa la propria identità, non la card prestata.</w:t>
      </w:r>
    </w:p>
    <w:p>
      <w:pPr>
        <w:pStyle w:val="Heading2"/>
      </w:pPr>
      <w:r>
        <w:t>6.4 Documenti e condivisione</w:t>
      </w:r>
    </w:p>
    <w:p>
      <w:r>
        <w:t>Caricamento → scansione del file → scelta immobile/contratto, tipo, data, scadenza e provenienza → controllo di completezza → visibilità esplicita → pubblicazione. Stati distinti: caricato, controllato formalmente, verificato dal professionista competente, scaduto o sostituito. “Controllato” non certifica validità giuridica o conformità urbanistica.</w:t>
      </w:r>
    </w:p>
    <w:p>
      <w:r>
        <w:t>Condivisione a persona autorizzata, con scadenza/revoca del collegamento; traccia degli accessi. Errori: file illeggibile, allegato alla casa sbagliata, versione vecchia, documento sensibile caricato per errore. Possibilità di ritirare la condivisione e correggere mantenendo lo storico necessario. L’inquilino non riceve automaticamente atti patrimoniali del proprietario, né il proprietario tutte le bollette personali dell’inquilino.</w:t>
      </w:r>
    </w:p>
    <w:p>
      <w:pPr>
        <w:pStyle w:val="Heading2"/>
      </w:pPr>
      <w:r>
        <w:t>6.5 Affitto, verifica e ricevute</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tcPr>
          <w:p>
            <w:r>
              <w:t>Evento</w:t>
            </w:r>
          </w:p>
        </w:tc>
        <w:tc>
          <w:tcPr>
            <w:tcW w:type="dxa" w:w="3400"/>
          </w:tcPr>
          <w:p>
            <w:r>
              <w:t>Che cosa significa</w:t>
            </w:r>
          </w:p>
        </w:tc>
        <w:tc>
          <w:tcPr>
            <w:tcW w:type="dxa" w:w="3400"/>
          </w:tcPr>
          <w:p>
            <w:r>
              <w:t>Azione successiva</w:t>
            </w:r>
          </w:p>
        </w:tc>
      </w:tr>
      <w:tr>
        <w:trPr>
          <w:cantSplit/>
        </w:trPr>
        <w:tc>
          <w:tcPr>
            <w:tcW w:type="dxa" w:w="3400"/>
          </w:tcPr>
          <w:p>
            <w:pPr>
              <w:spacing w:after="60"/>
            </w:pPr>
            <w:r>
              <w:rPr>
                <w:sz w:val="18"/>
              </w:rPr>
              <w:t>Documento caricato</w:t>
            </w:r>
          </w:p>
        </w:tc>
        <w:tc>
          <w:tcPr>
            <w:tcW w:type="dxa" w:w="3400"/>
          </w:tcPr>
          <w:p>
            <w:pPr>
              <w:spacing w:after="60"/>
            </w:pPr>
            <w:r>
              <w:rPr>
                <w:sz w:val="18"/>
              </w:rPr>
              <w:t>Esiste un allegato. Non attesta neppure da solo una dichiarazione completa di pagamento.</w:t>
            </w:r>
          </w:p>
        </w:tc>
        <w:tc>
          <w:tcPr>
            <w:tcW w:type="dxa" w:w="3400"/>
          </w:tcPr>
          <w:p>
            <w:pPr>
              <w:spacing w:after="60"/>
            </w:pPr>
            <w:r>
              <w:rPr>
                <w:sz w:val="18"/>
              </w:rPr>
              <w:t>Legare il file a importo, data, contratto e periodo, con autore.</w:t>
            </w:r>
          </w:p>
        </w:tc>
      </w:tr>
      <w:tr>
        <w:trPr>
          <w:cantSplit/>
        </w:trPr>
        <w:tc>
          <w:tcPr>
            <w:tcW w:type="dxa" w:w="3400"/>
          </w:tcPr>
          <w:p>
            <w:pPr>
              <w:spacing w:after="60"/>
            </w:pPr>
            <w:r>
              <w:rPr>
                <w:sz w:val="18"/>
              </w:rPr>
              <w:t>Pagamento dichiarato</w:t>
            </w:r>
          </w:p>
        </w:tc>
        <w:tc>
          <w:tcPr>
            <w:tcW w:type="dxa" w:w="3400"/>
          </w:tcPr>
          <w:p>
            <w:pPr>
              <w:spacing w:after="60"/>
            </w:pPr>
            <w:r>
              <w:rPr>
                <w:sz w:val="18"/>
              </w:rPr>
              <w:t>L’utente afferma di avere pagato. La contabile può indicare ordine disposto, non eseguito.</w:t>
            </w:r>
          </w:p>
        </w:tc>
        <w:tc>
          <w:tcPr>
            <w:tcW w:type="dxa" w:w="3400"/>
          </w:tcPr>
          <w:p>
            <w:pPr>
              <w:spacing w:after="60"/>
            </w:pPr>
            <w:r>
              <w:rPr>
                <w:sz w:val="18"/>
              </w:rPr>
              <w:t>Stato “da verificare”; nessuna quietanza automatica o saldo definitivo.</w:t>
            </w:r>
          </w:p>
        </w:tc>
      </w:tr>
      <w:tr>
        <w:trPr>
          <w:cantSplit/>
        </w:trPr>
        <w:tc>
          <w:tcPr>
            <w:tcW w:type="dxa" w:w="3400"/>
          </w:tcPr>
          <w:p>
            <w:pPr>
              <w:spacing w:after="60"/>
            </w:pPr>
            <w:r>
              <w:rPr>
                <w:sz w:val="18"/>
              </w:rPr>
              <w:t>Incasso verificato</w:t>
            </w:r>
          </w:p>
        </w:tc>
        <w:tc>
          <w:tcPr>
            <w:tcW w:type="dxa" w:w="3400"/>
          </w:tcPr>
          <w:p>
            <w:pPr>
              <w:spacing w:after="60"/>
            </w:pPr>
            <w:r>
              <w:rPr>
                <w:sz w:val="18"/>
              </w:rPr>
              <w:t>Il beneficiario conferma l’accredito o il sistema lo riconcilia con una fonte bancaria/PSP appropriata.</w:t>
            </w:r>
          </w:p>
        </w:tc>
        <w:tc>
          <w:tcPr>
            <w:tcW w:type="dxa" w:w="3400"/>
          </w:tcPr>
          <w:p>
            <w:pPr>
              <w:spacing w:after="60"/>
            </w:pPr>
            <w:r>
              <w:rPr>
                <w:sz w:val="18"/>
              </w:rPr>
              <w:t>Registrare fonte, operatore, data, importo e allocazione; distinguere importo lordo e netto di commissioni.</w:t>
            </w:r>
          </w:p>
        </w:tc>
      </w:tr>
      <w:tr>
        <w:trPr>
          <w:cantSplit/>
        </w:trPr>
        <w:tc>
          <w:tcPr>
            <w:tcW w:type="dxa" w:w="3400"/>
          </w:tcPr>
          <w:p>
            <w:pPr>
              <w:spacing w:after="60"/>
            </w:pPr>
            <w:r>
              <w:rPr>
                <w:sz w:val="18"/>
              </w:rPr>
              <w:t>Ricevuta/quietanza rilasciata</w:t>
            </w:r>
          </w:p>
        </w:tc>
        <w:tc>
          <w:tcPr>
            <w:tcW w:type="dxa" w:w="3400"/>
          </w:tcPr>
          <w:p>
            <w:pPr>
              <w:spacing w:after="60"/>
            </w:pPr>
            <w:r>
              <w:rPr>
                <w:sz w:val="18"/>
              </w:rPr>
              <w:t>Documento emesso dal creditore o delegato per il pagamento ricevuto.</w:t>
            </w:r>
          </w:p>
        </w:tc>
        <w:tc>
          <w:tcPr>
            <w:tcW w:type="dxa" w:w="3400"/>
          </w:tcPr>
          <w:p>
            <w:pPr>
              <w:spacing w:after="60"/>
            </w:pPr>
            <w:r>
              <w:rPr>
                <w:sz w:val="18"/>
              </w:rPr>
              <w:t>Conservare emittente, riferimento, periodo, importo e versione; verificare modalità fiscali e valore del documento con professionista.</w:t>
            </w:r>
          </w:p>
        </w:tc>
      </w:tr>
      <w:tr>
        <w:trPr>
          <w:cantSplit/>
        </w:trPr>
        <w:tc>
          <w:tcPr>
            <w:tcW w:type="dxa" w:w="3400"/>
          </w:tcPr>
          <w:p>
            <w:pPr>
              <w:spacing w:after="60"/>
            </w:pPr>
            <w:r>
              <w:rPr>
                <w:sz w:val="18"/>
              </w:rPr>
              <w:t>Storno, rimborso o contestazione</w:t>
            </w:r>
          </w:p>
        </w:tc>
        <w:tc>
          <w:tcPr>
            <w:tcW w:type="dxa" w:w="3400"/>
          </w:tcPr>
          <w:p>
            <w:pPr>
              <w:spacing w:after="60"/>
            </w:pPr>
            <w:r>
              <w:rPr>
                <w:sz w:val="18"/>
              </w:rPr>
              <w:t>Un evento successivo modifica o mette in discussione l’esito precedente.</w:t>
            </w:r>
          </w:p>
        </w:tc>
        <w:tc>
          <w:tcPr>
            <w:tcW w:type="dxa" w:w="3400"/>
          </w:tcPr>
          <w:p>
            <w:pPr>
              <w:spacing w:after="60"/>
            </w:pPr>
            <w:r>
              <w:rPr>
                <w:sz w:val="18"/>
              </w:rPr>
              <w:t>Riaprire il saldo quando appropriato, conservare documento originale e rettifica, avvisare le parti.</w:t>
            </w:r>
          </w:p>
        </w:tc>
      </w:tr>
    </w:tbl>
    <w:p/>
    <w:p>
      <w:r>
        <w:t>Generare scadenze dal contratto validato; ricordare al debitore, permettere pagamento esterno o partner, verificare e rendicontare. Non basta colorare di verde una prova caricata. Gestire pagamenti parziali, più rate in un bonifico, più versamenti per una rata, importo eccedente, doppio allegato, causale errata, beneficiario diverso e pagamento in contanti dichiarato. Eventuali morosità e solleciti delicati richiedono revisione umana; l’app non formula automaticamente contestazioni legali.</w:t>
      </w:r>
    </w:p>
    <w:p>
      <w:pPr>
        <w:pStyle w:val="Heading2"/>
      </w:pPr>
      <w:r>
        <w:t>6.6 Bollette</w:t>
      </w:r>
    </w:p>
    <w:p>
      <w:r>
        <w:t>Associare utenza e intestatario con intervallo di validità; caricare bolletta o riceverla da un’integrazione autorizzata; confermare importo, scadenza e identificativo; verificare se già domiciliata; scegliere il canale supportato; mostrare costo e beneficiario; eseguire sul partner; recuperare esito e ricevuta. Per pagamento esterno mantenere lo stato dichiarato finché non c’è evidenza adeguata.</w:t>
      </w:r>
    </w:p>
    <w:p>
      <w:r>
        <w:t>Errori: avviso già pagato, bolletta annullata/conguaglio, doppia scansione, utenza del precedente inquilino, pagamento pendente o timeout. Non riprovare alla cieca un’operazione di cui non si conosce l’esito. Uno stato “bolletta archiviata” non equivale a “saldata”. Cambio inquilino e voltura sono processi distinti, da chiudere con il fornitore.</w:t>
      </w:r>
    </w:p>
    <w:p>
      <w:pPr>
        <w:pStyle w:val="Heading2"/>
      </w:pPr>
      <w:r>
        <w:t>6.7 Assistenza e intervento tecnico</w:t>
      </w:r>
    </w:p>
    <w:p>
      <w:r>
        <w:t>Cliente seleziona casa, categoria e urgenza, allega foto e recapito; riceve numero pratica e orario di risposta. Operatore valuta, verifica chi può autorizzare la spesa e assegna un tecnico disponibile. Tecnico accetta → eventuale sopralluogo/preventivo → approvazione del soggetto competente → appuntamento → lavoro → rapporto, eventuale fattura e conferma di chiusura. Segnalare un guasto non autorizza qualunque costo.</w:t>
      </w:r>
    </w:p>
    <w:p>
      <w:r>
        <w:t>Errori: tecnico non risponde, rifiuta, non si presenta, problema fuori copertura, preventivo superato, accesso all’immobile impossibile, contestazione di chi paga. Riassegnazione e referente umano, nuovo consenso ai maggiori costi, pratica riapribile. Per pericolo immediato indirizzare ai servizi di emergenza/gestori competenti; la piattaforma non invita ad attendere la richiamata né affida diagnosi rischiose alla segreteria AI.</w:t>
      </w:r>
    </w:p>
    <w:p>
      <w:pPr>
        <w:pStyle w:val="Heading2"/>
      </w:pPr>
      <w:r>
        <w:t>6.8 Consulenza e piano immobiliare</w:t>
      </w:r>
    </w:p>
    <w:p>
      <w:r>
        <w:t>Mostrare beneficio disponibile, oggetto e durata → scelta slot → raccolta essenziale del quesito e dei documenti → appuntamento → riepilogo con ipotesi, azioni e responsabili → prossima revisione. Gestire rinvio, assenza, consulenza già fruita e richiesta fuori competenza. La revisione di un piano non implica rendimenti garantiti e non si trasforma automaticamente in consulenza su strumenti finanziari.</w:t>
      </w:r>
    </w:p>
    <w:p>
      <w:pPr>
        <w:pStyle w:val="Heading2"/>
      </w:pPr>
      <w:r>
        <w:t>6.9 Cambio inquilino e fine contratto</w:t>
      </w:r>
    </w:p>
    <w:p>
      <w:r>
        <w:t>Confermare data ed evento contrattuale, distinguendo uscita, subentro e risoluzione. Chiudere o trasferire pratiche e utenze, rilevare eventuali letture/verbali utili, mantenere separati saldi e controversie, revocare i permessi operativi alla data corretta. Il nuovo conduttore vede il fascicolo pertinente e non i dati privati del precedente. Il precedente conserva/esporta i propri documenti secondo regole definite; eventuale accesso allo storico è limitato e separato dal nuovo rapporto.</w:t>
      </w:r>
    </w:p>
    <w:p>
      <w:pPr>
        <w:pStyle w:val="Heading2"/>
      </w:pPr>
      <w:r>
        <w:t>6.10 Disdetta del servizio e recesso</w:t>
      </w:r>
    </w:p>
    <w:p>
      <w:r>
        <w:t>Disdetta EECard e cessazione della locazione sono eventi indipendenti. Mostrare data di efficacia, ultimi addebiti, pratiche ancora aperte, esportazione e contatto di continuità. Disattivare benefici e card alla scadenza concordata; conservare solo dati con motivazione e tempi previsti. Gestire il recesso nei casi applicabili, il rimborso e la chiusura del solo pacchetto senza interrompere impropriamente comunicazioni dovute alle parti.</w:t>
      </w:r>
    </w:p>
    <w:p>
      <w:pPr>
        <w:pStyle w:val="Heading1"/>
      </w:pPr>
      <w:r>
        <w:t>7. Organizzazione del servizio e pannello dell’agenzia</w:t>
      </w:r>
    </w:p>
    <w:p>
      <w:r>
        <w:t>P — Prima di vendere, nominare un responsabile operativo con un sostituto e definire un catalogo con orari, zone, prestazioni incluse, esclusioni e canale reclami. Il cliente deve sapere chi prende in carico la richiesta, chi esegue il lavoro e chi fattura. I contatti diretti con i fondatori non possono essere l’unico processo di escalation.</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tcPr>
          <w:p>
            <w:r>
              <w:t>Attività</w:t>
            </w:r>
          </w:p>
        </w:tc>
        <w:tc>
          <w:tcPr>
            <w:tcW w:type="dxa" w:w="3400"/>
          </w:tcPr>
          <w:p>
            <w:r>
              <w:t>Responsabile</w:t>
            </w:r>
          </w:p>
        </w:tc>
        <w:tc>
          <w:tcPr>
            <w:tcW w:type="dxa" w:w="3400"/>
          </w:tcPr>
          <w:p>
            <w:r>
              <w:t>Impegno proposto per il pilota</w:t>
            </w:r>
          </w:p>
        </w:tc>
      </w:tr>
      <w:tr>
        <w:trPr>
          <w:cantSplit/>
        </w:trPr>
        <w:tc>
          <w:tcPr>
            <w:tcW w:type="dxa" w:w="3400"/>
          </w:tcPr>
          <w:p>
            <w:pPr>
              <w:spacing w:after="60"/>
            </w:pPr>
            <w:r>
              <w:rPr>
                <w:sz w:val="18"/>
              </w:rPr>
              <w:t>Attivazione e fascicolo</w:t>
            </w:r>
          </w:p>
        </w:tc>
        <w:tc>
          <w:tcPr>
            <w:tcW w:type="dxa" w:w="3400"/>
          </w:tcPr>
          <w:p>
            <w:pPr>
              <w:spacing w:after="60"/>
            </w:pPr>
            <w:r>
              <w:rPr>
                <w:sz w:val="18"/>
              </w:rPr>
              <w:t>Operatore agenzia; professionista per verifiche specialistiche</w:t>
            </w:r>
          </w:p>
        </w:tc>
        <w:tc>
          <w:tcPr>
            <w:tcW w:type="dxa" w:w="3400"/>
          </w:tcPr>
          <w:p>
            <w:pPr>
              <w:spacing w:after="60"/>
            </w:pPr>
            <w:r>
              <w:rPr>
                <w:sz w:val="18"/>
              </w:rPr>
              <w:t>Appuntamento iniziale e lista documenti mancanti; conteggio minuti impiegati.</w:t>
            </w:r>
          </w:p>
        </w:tc>
      </w:tr>
      <w:tr>
        <w:trPr>
          <w:cantSplit/>
        </w:trPr>
        <w:tc>
          <w:tcPr>
            <w:tcW w:type="dxa" w:w="3400"/>
          </w:tcPr>
          <w:p>
            <w:pPr>
              <w:spacing w:after="60"/>
            </w:pPr>
            <w:r>
              <w:rPr>
                <w:sz w:val="18"/>
              </w:rPr>
              <w:t>Assistenza ordinaria</w:t>
            </w:r>
          </w:p>
        </w:tc>
        <w:tc>
          <w:tcPr>
            <w:tcW w:type="dxa" w:w="3400"/>
          </w:tcPr>
          <w:p>
            <w:pPr>
              <w:spacing w:after="60"/>
            </w:pPr>
            <w:r>
              <w:rPr>
                <w:sz w:val="18"/>
              </w:rPr>
              <w:t>Operatore assegnato e sostituto</w:t>
            </w:r>
          </w:p>
        </w:tc>
        <w:tc>
          <w:tcPr>
            <w:tcW w:type="dxa" w:w="3400"/>
          </w:tcPr>
          <w:p>
            <w:pPr>
              <w:spacing w:after="60"/>
            </w:pPr>
            <w:r>
              <w:rPr>
                <w:sz w:val="18"/>
              </w:rPr>
              <w:t>H: lun–ven 9–13 e 14–18; presa in carico entro 4 ore lavorative nel 90% dei casi. È un obiettivo da testare, non un SLA già vendibile.</w:t>
            </w:r>
          </w:p>
        </w:tc>
      </w:tr>
      <w:tr>
        <w:trPr>
          <w:cantSplit/>
        </w:trPr>
        <w:tc>
          <w:tcPr>
            <w:tcW w:type="dxa" w:w="3400"/>
          </w:tcPr>
          <w:p>
            <w:pPr>
              <w:spacing w:after="60"/>
            </w:pPr>
            <w:r>
              <w:rPr>
                <w:sz w:val="18"/>
              </w:rPr>
              <w:t>Fuori orario</w:t>
            </w:r>
          </w:p>
        </w:tc>
        <w:tc>
          <w:tcPr>
            <w:tcW w:type="dxa" w:w="3400"/>
          </w:tcPr>
          <w:p>
            <w:pPr>
              <w:spacing w:after="60"/>
            </w:pPr>
            <w:r>
              <w:rPr>
                <w:sz w:val="18"/>
              </w:rPr>
              <w:t>Segreteria/modulo; reperibile solo se contrattualizzato</w:t>
            </w:r>
          </w:p>
        </w:tc>
        <w:tc>
          <w:tcPr>
            <w:tcW w:type="dxa" w:w="3400"/>
          </w:tcPr>
          <w:p>
            <w:pPr>
              <w:spacing w:after="60"/>
            </w:pPr>
            <w:r>
              <w:rPr>
                <w:sz w:val="18"/>
              </w:rPr>
              <w:t>Conferma automatica di ricezione e richiamo alla riapertura. Eventuale urgenza coperta da partner con disponibilità e prezzo espliciti. Raccolta 24/7 non significa intervento 24/7.</w:t>
            </w:r>
          </w:p>
        </w:tc>
      </w:tr>
      <w:tr>
        <w:trPr>
          <w:cantSplit/>
        </w:trPr>
        <w:tc>
          <w:tcPr>
            <w:tcW w:type="dxa" w:w="3400"/>
          </w:tcPr>
          <w:p>
            <w:pPr>
              <w:spacing w:after="60"/>
            </w:pPr>
            <w:r>
              <w:rPr>
                <w:sz w:val="18"/>
              </w:rPr>
              <w:t>Tecnici</w:t>
            </w:r>
          </w:p>
        </w:tc>
        <w:tc>
          <w:tcPr>
            <w:tcW w:type="dxa" w:w="3400"/>
          </w:tcPr>
          <w:p>
            <w:pPr>
              <w:spacing w:after="60"/>
            </w:pPr>
            <w:r>
              <w:rPr>
                <w:sz w:val="18"/>
              </w:rPr>
              <w:t>Professionisti selezionati; agenzia coordina</w:t>
            </w:r>
          </w:p>
        </w:tc>
        <w:tc>
          <w:tcPr>
            <w:tcW w:type="dxa" w:w="3400"/>
          </w:tcPr>
          <w:p>
            <w:pPr>
              <w:spacing w:after="60"/>
            </w:pPr>
            <w:r>
              <w:rPr>
                <w:sz w:val="18"/>
              </w:rPr>
              <w:t>Accettazione dell’incarico, preventivo e appuntamento. Almeno un sostituto per le categorie promesse e zona limitata.</w:t>
            </w:r>
          </w:p>
        </w:tc>
      </w:tr>
      <w:tr>
        <w:trPr>
          <w:cantSplit/>
        </w:trPr>
        <w:tc>
          <w:tcPr>
            <w:tcW w:type="dxa" w:w="3400"/>
          </w:tcPr>
          <w:p>
            <w:pPr>
              <w:spacing w:after="60"/>
            </w:pPr>
            <w:r>
              <w:rPr>
                <w:sz w:val="18"/>
              </w:rPr>
              <w:t>Consulenza</w:t>
            </w:r>
          </w:p>
        </w:tc>
        <w:tc>
          <w:tcPr>
            <w:tcW w:type="dxa" w:w="3400"/>
          </w:tcPr>
          <w:p>
            <w:pPr>
              <w:spacing w:after="60"/>
            </w:pPr>
            <w:r>
              <w:rPr>
                <w:sz w:val="18"/>
              </w:rPr>
              <w:t>Consulente nominato</w:t>
            </w:r>
          </w:p>
        </w:tc>
        <w:tc>
          <w:tcPr>
            <w:tcW w:type="dxa" w:w="3400"/>
          </w:tcPr>
          <w:p>
            <w:pPr>
              <w:spacing w:after="60"/>
            </w:pPr>
            <w:r>
              <w:rPr>
                <w:sz w:val="18"/>
              </w:rPr>
              <w:t>H: una sessione annua di 45 minuti più preparazione definita. Specialistici e progetti di dettaglio a preventivo.</w:t>
            </w:r>
          </w:p>
        </w:tc>
      </w:tr>
      <w:tr>
        <w:trPr>
          <w:cantSplit/>
        </w:trPr>
        <w:tc>
          <w:tcPr>
            <w:tcW w:type="dxa" w:w="3400"/>
          </w:tcPr>
          <w:p>
            <w:pPr>
              <w:spacing w:after="60"/>
            </w:pPr>
            <w:r>
              <w:rPr>
                <w:sz w:val="18"/>
              </w:rPr>
              <w:t>Controllo incassi e ricevute</w:t>
            </w:r>
          </w:p>
        </w:tc>
        <w:tc>
          <w:tcPr>
            <w:tcW w:type="dxa" w:w="3400"/>
          </w:tcPr>
          <w:p>
            <w:pPr>
              <w:spacing w:after="60"/>
            </w:pPr>
            <w:r>
              <w:rPr>
                <w:sz w:val="18"/>
              </w:rPr>
              <w:t>Beneficiario o delegato; supporto contabile agenzia</w:t>
            </w:r>
          </w:p>
        </w:tc>
        <w:tc>
          <w:tcPr>
            <w:tcW w:type="dxa" w:w="3400"/>
          </w:tcPr>
          <w:p>
            <w:pPr>
              <w:spacing w:after="60"/>
            </w:pPr>
            <w:r>
              <w:rPr>
                <w:sz w:val="18"/>
              </w:rPr>
              <w:t>Coda delle prove da verificare; nessun operatore si limita ad approvare tutto ciò che appare come contabile.</w:t>
            </w:r>
          </w:p>
        </w:tc>
      </w:tr>
      <w:tr>
        <w:trPr>
          <w:cantSplit/>
        </w:trPr>
        <w:tc>
          <w:tcPr>
            <w:tcW w:type="dxa" w:w="3400"/>
          </w:tcPr>
          <w:p>
            <w:pPr>
              <w:spacing w:after="60"/>
            </w:pPr>
            <w:r>
              <w:rPr>
                <w:sz w:val="18"/>
              </w:rPr>
              <w:t>Supporto applicazione e incidenti</w:t>
            </w:r>
          </w:p>
        </w:tc>
        <w:tc>
          <w:tcPr>
            <w:tcW w:type="dxa" w:w="3400"/>
          </w:tcPr>
          <w:p>
            <w:pPr>
              <w:spacing w:after="60"/>
            </w:pPr>
            <w:r>
              <w:rPr>
                <w:sz w:val="18"/>
              </w:rPr>
              <w:t>Responsabile software e fornitore</w:t>
            </w:r>
          </w:p>
        </w:tc>
        <w:tc>
          <w:tcPr>
            <w:tcW w:type="dxa" w:w="3400"/>
          </w:tcPr>
          <w:p>
            <w:pPr>
              <w:spacing w:after="60"/>
            </w:pPr>
            <w:r>
              <w:rPr>
                <w:sz w:val="18"/>
              </w:rPr>
              <w:t>Registro incidenti, gestione accessi bloccati e ripristino. Distinto dall’assistenza a un guasto in casa.</w:t>
            </w:r>
          </w:p>
        </w:tc>
      </w:tr>
    </w:tbl>
    <w:p/>
    <w:p>
      <w:r>
        <w:t>Incluso proposto: fascicolo digitale, promemoria, tracciamento pagamenti, coordinamento delle richieste ordinarie e consulenza entro limiti definiti. Separato: sopralluoghi, manodopera, materiali, APE, pratiche specialistiche, 3D commissionato, consulenze ulteriori, urgenze e card sostitutive secondo listino. Se si vogliono includere interventi, occorrono massimali, esclusioni, costo atteso e un accordo sostenibile con partner; non basta una quota generica.</w:t>
      </w:r>
    </w:p>
    <w:p>
      <w:r>
        <w:t>Rete tecnica: verificare competenze/abilitazioni pertinenti, coperture assicurative, area, disponibilità, tariffe di uscita, fatturazione e gestione reclami. Rendere trasparenti eventuali compensi commerciali ricevuti dall’agenzia. Il cliente può scegliere un proprio tecnico; registrare l’ambito di responsabilità senza presentarlo come fornitore garantito da EECard.</w:t>
      </w:r>
    </w:p>
    <w:p>
      <w:r>
        <w:t>Pannello agenzia: coda richieste con priorità, tempi, assegnatario e prossima azione; clienti e relazioni; immobili e contratti; documenti mancanti/scaduti; prove da riconciliare; consulenze; abbonamenti e insoluti della quota; card e spedizioni; tecnici e incarichi; notifiche fallite; audit e report economico. Le note interne restano separate da messaggi visibili a proprietario, inquilino e tecnico. L’operatore lavora col proprio account, non entrando segretamente come cliente.</w:t>
      </w:r>
    </w:p>
    <w:p>
      <w:pPr>
        <w:pStyle w:val="Heading1"/>
      </w:pPr>
      <w:r>
        <w:t>8. Card, canali e predisposizione per i totem</w:t>
      </w:r>
    </w:p>
    <w:tbl>
      <w:tblPr>
        <w:tblStyle w:val="LightShading-Accent1"/>
        <w:tblW w:type="auto" w:w="0"/>
        <w:tblLook w:firstColumn="1" w:firstRow="1" w:lastColumn="0" w:lastRow="0" w:noHBand="0" w:noVBand="1" w:val="04A0"/>
      </w:tblPr>
      <w:tblGrid>
        <w:gridCol w:w="5100"/>
        <w:gridCol w:w="5100"/>
      </w:tblGrid>
      <w:tr>
        <w:trPr>
          <w:tblHeader/>
        </w:trPr>
        <w:tc>
          <w:tcPr>
            <w:tcW w:type="dxa" w:w="5100"/>
          </w:tcPr>
          <w:p>
            <w:r>
              <w:t>Scelta</w:t>
            </w:r>
          </w:p>
        </w:tc>
        <w:tc>
          <w:tcPr>
            <w:tcW w:type="dxa" w:w="5100"/>
          </w:tcPr>
          <w:p>
            <w:r>
              <w:t>Valutazione e proposta</w:t>
            </w:r>
          </w:p>
        </w:tc>
      </w:tr>
      <w:tr>
        <w:trPr>
          <w:cantSplit/>
        </w:trPr>
        <w:tc>
          <w:tcPr>
            <w:tcW w:type="dxa" w:w="5100"/>
          </w:tcPr>
          <w:p>
            <w:pPr>
              <w:spacing w:after="60"/>
            </w:pPr>
            <w:r>
              <w:rPr>
                <w:sz w:val="18"/>
              </w:rPr>
              <w:t>Tessera servizi</w:t>
            </w:r>
          </w:p>
        </w:tc>
        <w:tc>
          <w:tcPr>
            <w:tcW w:type="dxa" w:w="5100"/>
          </w:tcPr>
          <w:p>
            <w:pPr>
              <w:spacing w:after="60"/>
            </w:pPr>
            <w:r>
              <w:rPr>
                <w:sz w:val="18"/>
              </w:rPr>
              <w:t>P: nessun saldo monetario, nessun circuito bancario e nessuna autorizzazione di pagamento implicita. Identifica l’adesione e porta al servizio. Il formato simile a una carta di credito non ne determina la natura.</w:t>
            </w:r>
          </w:p>
        </w:tc>
      </w:tr>
      <w:tr>
        <w:trPr>
          <w:cantSplit/>
        </w:trPr>
        <w:tc>
          <w:tcPr>
            <w:tcW w:type="dxa" w:w="5100"/>
          </w:tcPr>
          <w:p>
            <w:pPr>
              <w:spacing w:after="60"/>
            </w:pPr>
            <w:r>
              <w:rPr>
                <w:sz w:val="18"/>
              </w:rPr>
              <w:t>QR fisico</w:t>
            </w:r>
          </w:p>
        </w:tc>
        <w:tc>
          <w:tcPr>
            <w:tcW w:type="dxa" w:w="5100"/>
          </w:tcPr>
          <w:p>
            <w:pPr>
              <w:spacing w:after="60"/>
            </w:pPr>
            <w:r>
              <w:rPr>
                <w:sz w:val="18"/>
              </w:rPr>
              <w:t>Identificativo casuale revocabile o collegamento al portale; non deve contenere dati di casa, contratti o credenziali sufficienti a leggerli. È copiabile: non usarlo come unica autenticazione.</w:t>
            </w:r>
          </w:p>
        </w:tc>
      </w:tr>
      <w:tr>
        <w:trPr>
          <w:cantSplit/>
        </w:trPr>
        <w:tc>
          <w:tcPr>
            <w:tcW w:type="dxa" w:w="5100"/>
          </w:tcPr>
          <w:p>
            <w:pPr>
              <w:spacing w:after="60"/>
            </w:pPr>
            <w:r>
              <w:rPr>
                <w:sz w:val="18"/>
              </w:rPr>
              <w:t>QR digitale</w:t>
            </w:r>
          </w:p>
        </w:tc>
        <w:tc>
          <w:tcPr>
            <w:tcW w:type="dxa" w:w="5100"/>
          </w:tcPr>
          <w:p>
            <w:pPr>
              <w:spacing w:after="60"/>
            </w:pPr>
            <w:r>
              <w:rPr>
                <w:sz w:val="18"/>
              </w:rPr>
              <w:t>Può essere dinamico e con scadenza breve per presentazione in sede; per l’accesso ai documenti conta sempre la sessione autenticata e il controllo dei permessi.</w:t>
            </w:r>
          </w:p>
        </w:tc>
      </w:tr>
      <w:tr>
        <w:trPr>
          <w:cantSplit/>
        </w:trPr>
        <w:tc>
          <w:tcPr>
            <w:tcW w:type="dxa" w:w="5100"/>
          </w:tcPr>
          <w:p>
            <w:pPr>
              <w:spacing w:after="60"/>
            </w:pPr>
            <w:r>
              <w:rPr>
                <w:sz w:val="18"/>
              </w:rPr>
              <w:t>NFC</w:t>
            </w:r>
          </w:p>
        </w:tc>
        <w:tc>
          <w:tcPr>
            <w:tcW w:type="dxa" w:w="5100"/>
          </w:tcPr>
          <w:p>
            <w:pPr>
              <w:spacing w:after="60"/>
            </w:pPr>
            <w:r>
              <w:rPr>
                <w:sz w:val="18"/>
              </w:rPr>
              <w:t>Utile per avvicinare la card a un lettore; tag URL o UID semplice non equivalgono a una smart card sicura. Se serve autenticazione crittografica, scegliere chip e lettore adatti dopo aver chiarito il rischio. QR come alternativa.</w:t>
            </w:r>
          </w:p>
        </w:tc>
      </w:tr>
      <w:tr>
        <w:trPr>
          <w:cantSplit/>
        </w:trPr>
        <w:tc>
          <w:tcPr>
            <w:tcW w:type="dxa" w:w="5100"/>
          </w:tcPr>
          <w:p>
            <w:pPr>
              <w:spacing w:after="60"/>
            </w:pPr>
            <w:r>
              <w:rPr>
                <w:sz w:val="18"/>
              </w:rPr>
              <w:t>Accesso forte</w:t>
            </w:r>
          </w:p>
        </w:tc>
        <w:tc>
          <w:tcPr>
            <w:tcW w:type="dxa" w:w="5100"/>
          </w:tcPr>
          <w:p>
            <w:pPr>
              <w:spacing w:after="60"/>
            </w:pPr>
            <w:r>
              <w:rPr>
                <w:sz w:val="18"/>
              </w:rPr>
              <w:t>MFA obbligatoria per operatori; autenticazione rafforzata per azioni sensibili quali cambio beneficiario, deleghe e recupero account. Autenticazione del pagamento gestita dal PSP secondo le regole applicabili.</w:t>
            </w:r>
          </w:p>
        </w:tc>
      </w:tr>
      <w:tr>
        <w:trPr>
          <w:cantSplit/>
        </w:trPr>
        <w:tc>
          <w:tcPr>
            <w:tcW w:type="dxa" w:w="5100"/>
          </w:tcPr>
          <w:p>
            <w:pPr>
              <w:spacing w:after="60"/>
            </w:pPr>
            <w:r>
              <w:rPr>
                <w:sz w:val="18"/>
              </w:rPr>
              <w:t>Totem: predisporre ora</w:t>
            </w:r>
          </w:p>
        </w:tc>
        <w:tc>
          <w:tcPr>
            <w:tcW w:type="dxa" w:w="5100"/>
          </w:tcPr>
          <w:p>
            <w:pPr>
              <w:spacing w:after="60"/>
            </w:pPr>
            <w:r>
              <w:rPr>
                <w:sz w:val="18"/>
              </w:rPr>
              <w:t>Identificativo card indipendente dal supporto; revoca sul server; API e permessi; separazione fra identificazione, consultazione e ordine di pagamento; eventi tracciati; sessioni limitate.</w:t>
            </w:r>
          </w:p>
        </w:tc>
      </w:tr>
      <w:tr>
        <w:trPr>
          <w:cantSplit/>
        </w:trPr>
        <w:tc>
          <w:tcPr>
            <w:tcW w:type="dxa" w:w="5100"/>
          </w:tcPr>
          <w:p>
            <w:pPr>
              <w:spacing w:after="60"/>
            </w:pPr>
            <w:r>
              <w:rPr>
                <w:sz w:val="18"/>
              </w:rPr>
              <w:t>Totem: decidere dopo</w:t>
            </w:r>
          </w:p>
        </w:tc>
        <w:tc>
          <w:tcPr>
            <w:tcW w:type="dxa" w:w="5100"/>
          </w:tcPr>
          <w:p>
            <w:pPr>
              <w:spacing w:after="60"/>
            </w:pPr>
            <w:r>
              <w:rPr>
                <w:sz w:val="18"/>
              </w:rPr>
              <w:t>Posizionamento, numero utenti, lettore, stampante, accessibilità fisica, terminale di pagamento certificato, manutenzione e connettività. Evitare l’acquisto di hardware prima di accordi PSP e prova della domanda.</w:t>
            </w:r>
          </w:p>
        </w:tc>
      </w:tr>
      <w:tr>
        <w:trPr>
          <w:cantSplit/>
        </w:trPr>
        <w:tc>
          <w:tcPr>
            <w:tcW w:type="dxa" w:w="5100"/>
          </w:tcPr>
          <w:p>
            <w:pPr>
              <w:spacing w:after="60"/>
            </w:pPr>
            <w:r>
              <w:rPr>
                <w:sz w:val="18"/>
              </w:rPr>
              <w:t>Totem: sicurezza richiesta</w:t>
            </w:r>
          </w:p>
        </w:tc>
        <w:tc>
          <w:tcPr>
            <w:tcW w:type="dxa" w:w="5100"/>
          </w:tcPr>
          <w:p>
            <w:pPr>
              <w:spacing w:after="60"/>
            </w:pPr>
            <w:r>
              <w:rPr>
                <w:sz w:val="18"/>
              </w:rPr>
              <w:t>Dispositivo gestito, sessione breve con chiusura e cancellazione dati, schermo che protegga la riservatezza, niente documenti lasciati scaricati, revoca remota, aggiornamenti. Nessun addebito offline improvvisato e nessuna memorizzazione di PIN bancari.</w:t>
            </w:r>
          </w:p>
        </w:tc>
      </w:tr>
    </w:tbl>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tcPr>
          <w:p>
            <w:r>
              <w:t>Canale</w:t>
            </w:r>
          </w:p>
        </w:tc>
        <w:tc>
          <w:tcPr>
            <w:tcW w:type="dxa" w:w="3400"/>
          </w:tcPr>
          <w:p>
            <w:r>
              <w:t>Utilità</w:t>
            </w:r>
          </w:p>
        </w:tc>
        <w:tc>
          <w:tcPr>
            <w:tcW w:type="dxa" w:w="3400"/>
          </w:tcPr>
          <w:p>
            <w:r>
              <w:t>Limite / scelta proposta</w:t>
            </w:r>
          </w:p>
        </w:tc>
      </w:tr>
      <w:tr>
        <w:trPr>
          <w:cantSplit/>
        </w:trPr>
        <w:tc>
          <w:tcPr>
            <w:tcW w:type="dxa" w:w="3400"/>
          </w:tcPr>
          <w:p>
            <w:pPr>
              <w:spacing w:after="60"/>
            </w:pPr>
            <w:r>
              <w:rPr>
                <w:sz w:val="18"/>
              </w:rPr>
              <w:t>Sito mobile responsive</w:t>
            </w:r>
          </w:p>
        </w:tc>
        <w:tc>
          <w:tcPr>
            <w:tcW w:type="dxa" w:w="3400"/>
          </w:tcPr>
          <w:p>
            <w:pPr>
              <w:spacing w:after="60"/>
            </w:pPr>
            <w:r>
              <w:rPr>
                <w:sz w:val="18"/>
              </w:rPr>
              <w:t>Accesso immediato da link o QR, niente installazione.</w:t>
            </w:r>
          </w:p>
        </w:tc>
        <w:tc>
          <w:tcPr>
            <w:tcW w:type="dxa" w:w="3400"/>
          </w:tcPr>
          <w:p>
            <w:pPr>
              <w:spacing w:after="60"/>
            </w:pPr>
            <w:r>
              <w:rPr>
                <w:sz w:val="18"/>
              </w:rPr>
              <w:t>Ottimo per primo accesso e uso occasionale; base comune a tutti i rilasci.</w:t>
            </w:r>
          </w:p>
        </w:tc>
      </w:tr>
      <w:tr>
        <w:trPr>
          <w:cantSplit/>
        </w:trPr>
        <w:tc>
          <w:tcPr>
            <w:tcW w:type="dxa" w:w="3400"/>
          </w:tcPr>
          <w:p>
            <w:pPr>
              <w:spacing w:after="60"/>
            </w:pPr>
            <w:r>
              <w:rPr>
                <w:sz w:val="18"/>
              </w:rPr>
              <w:t>Web app installabile — PWA</w:t>
            </w:r>
          </w:p>
        </w:tc>
        <w:tc>
          <w:tcPr>
            <w:tcW w:type="dxa" w:w="3400"/>
          </w:tcPr>
          <w:p>
            <w:pPr>
              <w:spacing w:after="60"/>
            </w:pPr>
            <w:r>
              <w:rPr>
                <w:sz w:val="18"/>
              </w:rPr>
              <w:t>Icona sul telefono, accesso rapido, fotocamera e notifiche ove supportate; un unico prodotto principale.</w:t>
            </w:r>
          </w:p>
        </w:tc>
        <w:tc>
          <w:tcPr>
            <w:tcW w:type="dxa" w:w="3400"/>
          </w:tcPr>
          <w:p>
            <w:pPr>
              <w:spacing w:after="60"/>
            </w:pPr>
            <w:r>
              <w:rPr>
                <w:sz w:val="18"/>
              </w:rPr>
              <w:t>Installazione e notifiche dipendono da browser/dispositivo e consenso. P: prima versione, con email e canali alternativi per le scadenze.</w:t>
            </w:r>
          </w:p>
        </w:tc>
      </w:tr>
      <w:tr>
        <w:trPr>
          <w:cantSplit/>
        </w:trPr>
        <w:tc>
          <w:tcPr>
            <w:tcW w:type="dxa" w:w="3400"/>
          </w:tcPr>
          <w:p>
            <w:pPr>
              <w:spacing w:after="60"/>
            </w:pPr>
            <w:r>
              <w:rPr>
                <w:sz w:val="18"/>
              </w:rPr>
              <w:t>App negli store</w:t>
            </w:r>
          </w:p>
        </w:tc>
        <w:tc>
          <w:tcPr>
            <w:tcW w:type="dxa" w:w="3400"/>
          </w:tcPr>
          <w:p>
            <w:pPr>
              <w:spacing w:after="60"/>
            </w:pPr>
            <w:r>
              <w:rPr>
                <w:sz w:val="18"/>
              </w:rPr>
              <w:t>Presenza negli store e accesso più controllato a funzionalità native, secondo piattaforma.</w:t>
            </w:r>
          </w:p>
        </w:tc>
        <w:tc>
          <w:tcPr>
            <w:tcW w:type="dxa" w:w="3400"/>
          </w:tcPr>
          <w:p>
            <w:pPr>
              <w:spacing w:after="60"/>
            </w:pPr>
            <w:r>
              <w:rPr>
                <w:sz w:val="18"/>
              </w:rPr>
              <w:t>Costi di distribuzione, aggiornamento e collaudo. Anticipare se NFC sicuro, scansioni avanzate, uso frequente o partner di pagamento lo richiedono; non solo per mostrare una tessera.</w:t>
            </w:r>
          </w:p>
        </w:tc>
      </w:tr>
      <w:tr>
        <w:trPr>
          <w:cantSplit/>
        </w:trPr>
        <w:tc>
          <w:tcPr>
            <w:tcW w:type="dxa" w:w="3400"/>
          </w:tcPr>
          <w:p>
            <w:pPr>
              <w:spacing w:after="60"/>
            </w:pPr>
            <w:r>
              <w:rPr>
                <w:sz w:val="18"/>
              </w:rPr>
              <w:t>Assistenza in agenzia/telefono</w:t>
            </w:r>
          </w:p>
        </w:tc>
        <w:tc>
          <w:tcPr>
            <w:tcW w:type="dxa" w:w="3400"/>
          </w:tcPr>
          <w:p>
            <w:pPr>
              <w:spacing w:after="60"/>
            </w:pPr>
            <w:r>
              <w:rPr>
                <w:sz w:val="18"/>
              </w:rPr>
              <w:t>Accesso al servizio anche per chi ha difficoltà digitali.</w:t>
            </w:r>
          </w:p>
        </w:tc>
        <w:tc>
          <w:tcPr>
            <w:tcW w:type="dxa" w:w="3400"/>
          </w:tcPr>
          <w:p>
            <w:pPr>
              <w:spacing w:after="60"/>
            </w:pPr>
            <w:r>
              <w:rPr>
                <w:sz w:val="18"/>
              </w:rPr>
              <w:t>Operazioni assistite attribuite all’operatore, verifica del cliente e registrazione dell’azione. Nessun account condiviso.</w:t>
            </w:r>
          </w:p>
        </w:tc>
      </w:tr>
    </w:tbl>
    <w:p/>
    <w:p>
      <w:r>
        <w:t xml:space="preserve">Le notifiche web sono disponibili sulle web app aggiunte alla schermata Home di iOS 16.4 o successivi; collaudare il percorso sui dispositivi del pilota. Fonte: </w:t>
      </w:r>
      <w:hyperlink r:id="rId22">
        <w:r>
          <w:rPr>
            <w:color w:val="006778"/>
          </w:rPr>
          <w:t>Apple: notifiche web</w:t>
        </w:r>
      </w:hyperlink>
    </w:p>
    <w:p>
      <w:r>
        <w:t xml:space="preserve">L’API Web NFC ha disponibilità limitata: non fondare l’intero accesso su una funzione web non universale. Fonte: </w:t>
      </w:r>
      <w:hyperlink r:id="rId23">
        <w:r>
          <w:rPr>
            <w:color w:val="006778"/>
          </w:rPr>
          <w:t>MDN: Web NFC</w:t>
        </w:r>
      </w:hyperlink>
    </w:p>
    <w:p>
      <w:pPr>
        <w:pStyle w:val="Heading1"/>
      </w:pPr>
      <w:r>
        <w:t>9. Flussi di denaro e verifiche normative</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tcPr>
          <w:p>
            <w:r>
              <w:t>Flusso</w:t>
            </w:r>
          </w:p>
        </w:tc>
        <w:tc>
          <w:tcPr>
            <w:tcW w:type="dxa" w:w="3400"/>
          </w:tcPr>
          <w:p>
            <w:r>
              <w:t>Beneficiario e percorso raccomandato</w:t>
            </w:r>
          </w:p>
        </w:tc>
        <w:tc>
          <w:tcPr>
            <w:tcW w:type="dxa" w:w="3400"/>
          </w:tcPr>
          <w:p>
            <w:r>
              <w:t>Commissioni ed eccezioni</w:t>
            </w:r>
          </w:p>
        </w:tc>
      </w:tr>
      <w:tr>
        <w:trPr>
          <w:cantSplit/>
        </w:trPr>
        <w:tc>
          <w:tcPr>
            <w:tcW w:type="dxa" w:w="3400"/>
          </w:tcPr>
          <w:p>
            <w:pPr>
              <w:spacing w:after="60"/>
            </w:pPr>
            <w:r>
              <w:rPr>
                <w:sz w:val="18"/>
              </w:rPr>
              <w:t>Quota EECard</w:t>
            </w:r>
          </w:p>
        </w:tc>
        <w:tc>
          <w:tcPr>
            <w:tcW w:type="dxa" w:w="3400"/>
          </w:tcPr>
          <w:p>
            <w:pPr>
              <w:spacing w:after="60"/>
            </w:pPr>
            <w:r>
              <w:rPr>
                <w:sz w:val="18"/>
              </w:rPr>
              <w:t>Cliente → PSP → soggetto che vende l’abbonamento, identificato nel contratto.</w:t>
            </w:r>
          </w:p>
        </w:tc>
        <w:tc>
          <w:tcPr>
            <w:tcW w:type="dxa" w:w="3400"/>
          </w:tcPr>
          <w:p>
            <w:pPr>
              <w:spacing w:after="60"/>
            </w:pPr>
            <w:r>
              <w:rPr>
                <w:sz w:val="18"/>
              </w:rPr>
              <w:t>Costo acquisizione pagamento, rinnovi falliti, rimborso/recesso e documento fiscale. È ricavo EECard al netto delle imposte applicabili.</w:t>
            </w:r>
          </w:p>
        </w:tc>
      </w:tr>
      <w:tr>
        <w:trPr>
          <w:cantSplit/>
        </w:trPr>
        <w:tc>
          <w:tcPr>
            <w:tcW w:type="dxa" w:w="3400"/>
          </w:tcPr>
          <w:p>
            <w:pPr>
              <w:spacing w:after="60"/>
            </w:pPr>
            <w:r>
              <w:rPr>
                <w:sz w:val="18"/>
              </w:rPr>
              <w:t>Canone affitto</w:t>
            </w:r>
          </w:p>
        </w:tc>
        <w:tc>
          <w:tcPr>
            <w:tcW w:type="dxa" w:w="3400"/>
          </w:tcPr>
          <w:p>
            <w:pPr>
              <w:spacing w:after="60"/>
            </w:pPr>
            <w:r>
              <w:rPr>
                <w:sz w:val="18"/>
              </w:rPr>
              <w:t>Inquilino → banca/PSP → locatore o soggetto legittimato contrattualmente. EECard riceve dati d’esito strettamente necessari.</w:t>
            </w:r>
          </w:p>
        </w:tc>
        <w:tc>
          <w:tcPr>
            <w:tcW w:type="dxa" w:w="3400"/>
          </w:tcPr>
          <w:p>
            <w:pPr>
              <w:spacing w:after="60"/>
            </w:pPr>
            <w:r>
              <w:rPr>
                <w:sz w:val="18"/>
              </w:rPr>
              <w:t>Metodi consentiti, costo fisso/percentuale, tempi di accredito, insoluti, revoche e riconciliazione. Il canone non è fatturato di EECard.</w:t>
            </w:r>
          </w:p>
        </w:tc>
      </w:tr>
      <w:tr>
        <w:trPr>
          <w:cantSplit/>
        </w:trPr>
        <w:tc>
          <w:tcPr>
            <w:tcW w:type="dxa" w:w="3400"/>
          </w:tcPr>
          <w:p>
            <w:pPr>
              <w:spacing w:after="60"/>
            </w:pPr>
            <w:r>
              <w:rPr>
                <w:sz w:val="18"/>
              </w:rPr>
              <w:t>Bolletta</w:t>
            </w:r>
          </w:p>
        </w:tc>
        <w:tc>
          <w:tcPr>
            <w:tcW w:type="dxa" w:w="3400"/>
          </w:tcPr>
          <w:p>
            <w:pPr>
              <w:spacing w:after="60"/>
            </w:pPr>
            <w:r>
              <w:rPr>
                <w:sz w:val="18"/>
              </w:rPr>
              <w:t>Pagatore → partner supportato → fornitore/ente creditore corretto.</w:t>
            </w:r>
          </w:p>
        </w:tc>
        <w:tc>
          <w:tcPr>
            <w:tcW w:type="dxa" w:w="3400"/>
          </w:tcPr>
          <w:p>
            <w:pPr>
              <w:spacing w:after="60"/>
            </w:pPr>
            <w:r>
              <w:rPr>
                <w:sz w:val="18"/>
              </w:rPr>
              <w:t>Identificativo avviso, commissione visibile, doppio pagamento, beneficiario non supportato, annullamento e ricevuta. Un generico checkout non paga tutte le bollette.</w:t>
            </w:r>
          </w:p>
        </w:tc>
      </w:tr>
      <w:tr>
        <w:trPr>
          <w:cantSplit/>
        </w:trPr>
        <w:tc>
          <w:tcPr>
            <w:tcW w:type="dxa" w:w="3400"/>
          </w:tcPr>
          <w:p>
            <w:pPr>
              <w:spacing w:after="60"/>
            </w:pPr>
            <w:r>
              <w:rPr>
                <w:sz w:val="18"/>
              </w:rPr>
              <w:t>Intervento tecnico</w:t>
            </w:r>
          </w:p>
        </w:tc>
        <w:tc>
          <w:tcPr>
            <w:tcW w:type="dxa" w:w="3400"/>
          </w:tcPr>
          <w:p>
            <w:pPr>
              <w:spacing w:after="60"/>
            </w:pPr>
            <w:r>
              <w:rPr>
                <w:sz w:val="18"/>
              </w:rPr>
              <w:t>Soggetto che ha autorizzato la spesa → tecnico, direttamente o tramite PSP idoneo.</w:t>
            </w:r>
          </w:p>
        </w:tc>
        <w:tc>
          <w:tcPr>
            <w:tcW w:type="dxa" w:w="3400"/>
          </w:tcPr>
          <w:p>
            <w:pPr>
              <w:spacing w:after="60"/>
            </w:pPr>
            <w:r>
              <w:rPr>
                <w:sz w:val="18"/>
              </w:rPr>
              <w:t>Preventivo, IVA, uscita, supplementi, mancata presenza e contestazioni. Eventuale commissione EECard separata e trasparente.</w:t>
            </w:r>
          </w:p>
        </w:tc>
      </w:tr>
      <w:tr>
        <w:trPr>
          <w:cantSplit/>
        </w:trPr>
        <w:tc>
          <w:tcPr>
            <w:tcW w:type="dxa" w:w="3400"/>
          </w:tcPr>
          <w:p>
            <w:pPr>
              <w:spacing w:after="60"/>
            </w:pPr>
            <w:r>
              <w:rPr>
                <w:sz w:val="18"/>
              </w:rPr>
              <w:t>Consulenza extra / certificato</w:t>
            </w:r>
          </w:p>
        </w:tc>
        <w:tc>
          <w:tcPr>
            <w:tcW w:type="dxa" w:w="3400"/>
          </w:tcPr>
          <w:p>
            <w:pPr>
              <w:spacing w:after="60"/>
            </w:pPr>
            <w:r>
              <w:rPr>
                <w:sz w:val="18"/>
              </w:rPr>
              <w:t>Cliente → agenzia o professionista effettivamente incaricato.</w:t>
            </w:r>
          </w:p>
        </w:tc>
        <w:tc>
          <w:tcPr>
            <w:tcW w:type="dxa" w:w="3400"/>
          </w:tcPr>
          <w:p>
            <w:pPr>
              <w:spacing w:after="60"/>
            </w:pPr>
            <w:r>
              <w:rPr>
                <w:sz w:val="18"/>
              </w:rPr>
              <w:t>Definire chi eroga e fattura; prezzo e inclusioni prima della conferma.</w:t>
            </w:r>
          </w:p>
        </w:tc>
      </w:tr>
    </w:tbl>
    <w:p/>
    <w:p>
      <w:r>
        <w:t>P — Per il primo pagamento integrato privilegiare un percorso ospitato dal prestatore autorizzato, con contratto adatto a canoni o bollettini e beneficiario verificato. Evitare l’incasso dei canoni sul normale conto operativo dell’agenzia per poi ridistribuirli. Non assumere che l’uso di un’API o la mancata custodia dei fondi renda automaticamente l’attività esente da autorizzazione: anche disposizione di pagamenti e informazione sui conti hanno un perimetro regolato.</w:t>
      </w:r>
    </w:p>
    <w:p>
      <w:r>
        <w:t xml:space="preserve">Base ufficiale per attività riservate e servizi PIS/AIS: </w:t>
      </w:r>
      <w:hyperlink r:id="rId24">
        <w:r>
          <w:rPr>
            <w:color w:val="006778"/>
          </w:rPr>
          <w:t>Banca d’Italia: istituti di pagamento</w:t>
        </w:r>
      </w:hyperlink>
    </w:p>
    <w:p>
      <w:r>
        <w:t xml:space="preserve">L’esclusione dei servizi tecnici che non entrano in possesso dei fondi esclude a sua volta PIS e AIS: serve valutare il flusso concreto. Fonte: </w:t>
      </w:r>
      <w:hyperlink r:id="rId25">
        <w:r>
          <w:rPr>
            <w:color w:val="006778"/>
          </w:rPr>
          <w:t>PSD2, articolo 3, lettera j</w:t>
        </w:r>
      </w:hyperlink>
    </w:p>
    <w:p>
      <w:r>
        <w:t xml:space="preserve">pagoPA copre pagamenti verso gli enti aderenti tramite PSP; non sostituisce ogni forma di pagamento utenze private. Fonte: </w:t>
      </w:r>
      <w:hyperlink r:id="rId26">
        <w:r>
          <w:rPr>
            <w:color w:val="006778"/>
          </w:rPr>
          <w:t>pagoPA: piattaforma e destinatari</w:t>
        </w:r>
      </w:hyperlink>
    </w:p>
    <w:p>
      <w:r>
        <w:t xml:space="preserve">Le commissioni dipendono da PSP, canale e metodo: confrontare la copertura reale prima di promettere convenienza. Fonte: </w:t>
      </w:r>
      <w:hyperlink r:id="rId27">
        <w:r>
          <w:rPr>
            <w:color w:val="006778"/>
          </w:rPr>
          <w:t>pagoPA: trasparenza costi</w:t>
        </w:r>
      </w:hyperlink>
    </w:p>
    <w:p>
      <w:r>
        <w:t>Requisiti di pagamento: importo e beneficiario confermati; identificativo univoco del tentativo; doppio clic innocuo; firma/verifica delle notifiche dal partner; eventi duplicati o fuori ordine gestiti; stato pendente distinto da riuscito; riconciliazione periodica; gestione di rimborso e storno; tracciabilità dell’operatore. La pagina di ritorno del browser da sola non prova l’esito. L’avvenuto addebito, la disponibilità dei fondi e l’accredito al beneficiario possono essere eventi diversi.</w:t>
      </w:r>
    </w:p>
    <w:p>
      <w:r>
        <w:t xml:space="preserve">Esempio pubblico di costo, non preventivo né scelta del partner: carte standard SEE 1,5% + 0,25 € e addebito diretto SEPA 0,35 € secondo la pagina consultata. Su 800 € la sola tariffa carta dell’esempio è 12,25 €, contro 0,35 € della voce SEPA; restano possibili costi Connect, insoluti, contestazioni e altri servizi. Fonte: </w:t>
      </w:r>
      <w:hyperlink r:id="rId28">
        <w:r>
          <w:rPr>
            <w:color w:val="006778"/>
          </w:rPr>
          <w:t>Stripe: tariffe italiane</w:t>
        </w:r>
      </w:hyperlink>
    </w:p>
    <w:p>
      <w:r>
        <w:t>Verifiche da commissionare prima dei pagamenti: legale e PSP qualificano ruoli, mandato, trasferimenti e autorizzazioni; verificano accettabilità di proprietari privati, eventuale antiriciclaggio/KYC, autenticazione, responsabilità per frodi e rimborsi, limiti e commissioni. Il commercialista definisce fatturazione dell’abbonamento, quietanze, bollo quando dovuto e contabilità dei compensi ai partner. La ricevuta tecnica del PSP non è automaticamente la quietanza del canone emessa dal locatore.</w:t>
      </w:r>
    </w:p>
    <w:p>
      <w:r>
        <w:t xml:space="preserve">L’evoluzione PSD3/PSR richiede un controllo di testi definitivi e date di applicazione al momento del contratto e del lancio; non si applicano anticipatamente regole tratte dalle sole proposte. Riferimento ufficiale consultato: </w:t>
      </w:r>
      <w:hyperlink r:id="rId29">
        <w:r>
          <w:rPr>
            <w:color w:val="006778"/>
          </w:rPr>
          <w:t>Iter ufficiale PSR</w:t>
        </w:r>
      </w:hyperlink>
    </w:p>
    <w:p>
      <w:pPr>
        <w:pStyle w:val="Heading2"/>
      </w:pPr>
      <w:r>
        <w:t>Dati personali, contratti e servizi professionali</w:t>
      </w:r>
    </w:p>
    <w:p>
      <w:r>
        <w:t>Progettazione GDPR: definire per ciascun trattamento chi decide finalità e mezzi, chi opera come responsabile e quali soggetti sono titolari autonomi. Non è scontato che agenzia, società software, PSP e tecnici abbiano lo stesso ruolo. Applicare minimizzazione, permessi per relazione, tempi di conservazione per categoria, accordi coi fornitori, gestione dei diritti e incidenti. Non usare il consenso marketing come condizione per il servizio; valutare separatamente marketing e registrazione delle chiamate. Hosting europeo è una scelta utile, ma non basta da solo a garantire conformità.</w:t>
      </w:r>
    </w:p>
    <w:p>
      <w:r>
        <w:t xml:space="preserve">Riferimenti: artt. 5–6, 13, 25, 28, 32–35 e regole sui trasferimenti. Necessità di una valutazione d’impatto da accertare sul trattamento concreto, non presunta per ogni piccolo pilota. Fonte: </w:t>
      </w:r>
      <w:hyperlink r:id="rId30">
        <w:r>
          <w:rPr>
            <w:color w:val="006778"/>
          </w:rPr>
          <w:t>GDPR: testo ufficiale</w:t>
        </w:r>
      </w:hyperlink>
    </w:p>
    <w:p>
      <w:r>
        <w:t xml:space="preserve">Per la vendita a distanza al consumatore, valutare informazioni precontrattuali, rinnovo, disdetta, recesso generalmente di 14 giorni e condizioni di avvio anticipato. Non presumere la perdita del recesso alla semplice attivazione della card. Fonte: </w:t>
      </w:r>
      <w:hyperlink r:id="rId31">
        <w:r>
          <w:rPr>
            <w:color w:val="006778"/>
          </w:rPr>
          <w:t>MIMIT: diritto di recesso</w:t>
        </w:r>
      </w:hyperlink>
    </w:p>
    <w:p>
      <w:r>
        <w:t xml:space="preserve">Verificare applicabilità del D.Lgs. 82/2022 a commercio elettronico e futuri terminali, inclusa l’eventuale esenzione per microimprese di servizi. Progettare comunque percorsi leggibili e utilizzabili con tecnologie assistive. Fonte: </w:t>
      </w:r>
      <w:hyperlink r:id="rId32">
        <w:r>
          <w:rPr>
            <w:color w:val="006778"/>
          </w:rPr>
          <w:t>AgID: accessibilità dei servizi</w:t>
        </w:r>
      </w:hyperlink>
    </w:p>
    <w:p>
      <w:r>
        <w:t xml:space="preserve">Se si adotta la segreteria AI, chiarire che si sta interagendo con un sistema automatizzato e applicare gli obblighi di trasparenza pertinenti, in applicazione dal 2 agosto 2026. Prevedere revisione umana, errori, conservazione limitata ed esclusione di diagnosi pericolose. Fonte: </w:t>
      </w:r>
      <w:hyperlink r:id="rId33">
        <w:r>
          <w:rPr>
            <w:color w:val="006778"/>
          </w:rPr>
          <w:t>Commissione europea: articolo 50 AI Act</w:t>
        </w:r>
      </w:hyperlink>
    </w:p>
    <w:p>
      <w:r>
        <w:t xml:space="preserve">Nell’audio le affermazioni su APE e professionisti sono colloquiali: la certificazione non è riservata in generale ai soli geometri. I requisiti dipendono da qualifiche, abilitazione e regole applicabili. Fonte istituzionale di riferimento: </w:t>
      </w:r>
      <w:hyperlink r:id="rId34">
        <w:r>
          <w:rPr>
            <w:color w:val="006778"/>
          </w:rPr>
          <w:t>ENEA: requisiti dei certificatori</w:t>
        </w:r>
      </w:hyperlink>
    </w:p>
    <w:p>
      <w:r>
        <w:t>Non trasformare in regole software le affermazioni dell’audio circa APE o rinnovi annuali. Far validare ad un professionista immobiliare/legale la matrice per tipo di contratto, obblighi documentali, registrazioni e scadenze; l’archivio contiene gli esiti, non certifica da solo l’adempimento. I piani di investimento restano inizialmente analisi di valorizzazione immobiliare: eventuali prodotti finanziari, assicurazioni o garanzie aprono perimetri professionali ulteriori da verificare.</w:t>
      </w:r>
    </w:p>
    <w:p>
      <w:pPr>
        <w:pStyle w:val="Heading1"/>
      </w:pPr>
      <w:r>
        <w:t>10. Economia unitaria e condizioni di sostenibilità</w:t>
      </w:r>
    </w:p>
    <w:p>
      <w:r>
        <w:t>F — Nel PDF compaiono 50 € e 15 €. H — Periodicità, imponibile/IVA, unità di prezzo, numero immobili compresi e pacchetto restano non confermati. Il possibile riferimento annuo nell’audio e il conteggio incoerente rendono scorretto fissare il prezzo mensile per deduzione. Gli scenari seguenti sono esercizi di sensibilità, non preventivi né prezzi raccomandati.</w:t>
      </w:r>
    </w:p>
    <w:tbl>
      <w:tblPr>
        <w:tblStyle w:val="LightShading-Accent1"/>
        <w:tblW w:type="auto" w:w="0"/>
        <w:tblLook w:firstColumn="1" w:firstRow="1" w:lastColumn="0" w:lastRow="0" w:noHBand="0" w:noVBand="1" w:val="04A0"/>
      </w:tblPr>
      <w:tblGrid>
        <w:gridCol w:w="5100"/>
        <w:gridCol w:w="5100"/>
      </w:tblGrid>
      <w:tr>
        <w:trPr>
          <w:tblHeader/>
        </w:trPr>
        <w:tc>
          <w:tcPr>
            <w:tcW w:type="dxa" w:w="5100"/>
          </w:tcPr>
          <w:p>
            <w:r>
              <w:t>Variabile ipotetica</w:t>
            </w:r>
          </w:p>
        </w:tc>
        <w:tc>
          <w:tcPr>
            <w:tcW w:type="dxa" w:w="5100"/>
          </w:tcPr>
          <w:p>
            <w:r>
              <w:t>Assunzione per un immobile, un proprietario e un nucleo inquilino</w:t>
            </w:r>
          </w:p>
        </w:tc>
      </w:tr>
      <w:tr>
        <w:trPr>
          <w:cantSplit/>
        </w:trPr>
        <w:tc>
          <w:tcPr>
            <w:tcW w:type="dxa" w:w="5100"/>
          </w:tcPr>
          <w:p>
            <w:pPr>
              <w:spacing w:after="60"/>
            </w:pPr>
            <w:r>
              <w:rPr>
                <w:sz w:val="18"/>
              </w:rPr>
              <w:t>Prezzi e IVA</w:t>
            </w:r>
          </w:p>
        </w:tc>
        <w:tc>
          <w:tcPr>
            <w:tcW w:type="dxa" w:w="5100"/>
          </w:tcPr>
          <w:p>
            <w:pPr>
              <w:spacing w:after="60"/>
            </w:pPr>
            <w:r>
              <w:rPr>
                <w:sz w:val="18"/>
              </w:rPr>
              <w:t>50 € proprietario + 15 € inquilino, entrambi paganti; ipotesi di prezzi al consumatore comprensivi di IVA al 22%, solo per il calcolo. Regime reale da commercialista.</w:t>
            </w:r>
          </w:p>
        </w:tc>
      </w:tr>
      <w:tr>
        <w:trPr>
          <w:cantSplit/>
        </w:trPr>
        <w:tc>
          <w:tcPr>
            <w:tcW w:type="dxa" w:w="5100"/>
          </w:tcPr>
          <w:p>
            <w:pPr>
              <w:spacing w:after="60"/>
            </w:pPr>
            <w:r>
              <w:rPr>
                <w:sz w:val="18"/>
              </w:rPr>
              <w:t>Supporto ordinario</w:t>
            </w:r>
          </w:p>
        </w:tc>
        <w:tc>
          <w:tcPr>
            <w:tcW w:type="dxa" w:w="5100"/>
          </w:tcPr>
          <w:p>
            <w:pPr>
              <w:spacing w:after="60"/>
            </w:pPr>
            <w:r>
              <w:rPr>
                <w:sz w:val="18"/>
              </w:rPr>
              <w:t>20 minuti al mese complessivi per immobile × costo pieno di 30 €/ora = 10 €/mese. Caso intensivo: 60 minuti = 30 €/mese.</w:t>
            </w:r>
          </w:p>
        </w:tc>
      </w:tr>
      <w:tr>
        <w:trPr>
          <w:cantSplit/>
        </w:trPr>
        <w:tc>
          <w:tcPr>
            <w:tcW w:type="dxa" w:w="5100"/>
          </w:tcPr>
          <w:p>
            <w:pPr>
              <w:spacing w:after="60"/>
            </w:pPr>
            <w:r>
              <w:rPr>
                <w:sz w:val="18"/>
              </w:rPr>
              <w:t>Consulenza</w:t>
            </w:r>
          </w:p>
        </w:tc>
        <w:tc>
          <w:tcPr>
            <w:tcW w:type="dxa" w:w="5100"/>
          </w:tcPr>
          <w:p>
            <w:pPr>
              <w:spacing w:after="60"/>
            </w:pPr>
            <w:r>
              <w:rPr>
                <w:sz w:val="18"/>
              </w:rPr>
              <w:t>45 minuti annui × costo pieno 50 €/ora = 37,50 €/anno. Preparazione aggiuntiva non compresa: se necessaria aumenta il costo.</w:t>
            </w:r>
          </w:p>
        </w:tc>
      </w:tr>
      <w:tr>
        <w:trPr>
          <w:cantSplit/>
        </w:trPr>
        <w:tc>
          <w:tcPr>
            <w:tcW w:type="dxa" w:w="5100"/>
          </w:tcPr>
          <w:p>
            <w:pPr>
              <w:spacing w:after="60"/>
            </w:pPr>
            <w:r>
              <w:rPr>
                <w:sz w:val="18"/>
              </w:rPr>
              <w:t>Tecnologia a consumo</w:t>
            </w:r>
          </w:p>
        </w:tc>
        <w:tc>
          <w:tcPr>
            <w:tcW w:type="dxa" w:w="5100"/>
          </w:tcPr>
          <w:p>
            <w:pPr>
              <w:spacing w:after="60"/>
            </w:pPr>
            <w:r>
              <w:rPr>
                <w:sz w:val="18"/>
              </w:rPr>
              <w:t>2 €/mese per unità come ipotesi; piattaforma, manutenzione e struttura fissa sono separate. Voce AI notturna non inclusa.</w:t>
            </w:r>
          </w:p>
        </w:tc>
      </w:tr>
      <w:tr>
        <w:trPr>
          <w:cantSplit/>
        </w:trPr>
        <w:tc>
          <w:tcPr>
            <w:tcW w:type="dxa" w:w="5100"/>
          </w:tcPr>
          <w:p>
            <w:pPr>
              <w:spacing w:after="60"/>
            </w:pPr>
            <w:r>
              <w:rPr>
                <w:sz w:val="18"/>
              </w:rPr>
              <w:t>Incasso delle quote</w:t>
            </w:r>
          </w:p>
        </w:tc>
        <w:tc>
          <w:tcPr>
            <w:tcW w:type="dxa" w:w="5100"/>
          </w:tcPr>
          <w:p>
            <w:pPr>
              <w:spacing w:after="60"/>
            </w:pPr>
            <w:r>
              <w:rPr>
                <w:sz w:val="18"/>
              </w:rPr>
              <w:t>Per due addebiti carta: 1,5% del lordo + 0,25 € ciascuno, esempio della tariffa pubblica citata. Non comprende altri moduli, insoluti e canoni/bollette dei clienti.</w:t>
            </w:r>
          </w:p>
        </w:tc>
      </w:tr>
      <w:tr>
        <w:trPr>
          <w:cantSplit/>
        </w:trPr>
        <w:tc>
          <w:tcPr>
            <w:tcW w:type="dxa" w:w="5100"/>
          </w:tcPr>
          <w:p>
            <w:pPr>
              <w:spacing w:after="60"/>
            </w:pPr>
            <w:r>
              <w:rPr>
                <w:sz w:val="18"/>
              </w:rPr>
              <w:t>Attivazione e card</w:t>
            </w:r>
          </w:p>
        </w:tc>
        <w:tc>
          <w:tcPr>
            <w:tcW w:type="dxa" w:w="5100"/>
          </w:tcPr>
          <w:p>
            <w:pPr>
              <w:spacing w:after="60"/>
            </w:pPr>
            <w:r>
              <w:rPr>
                <w:sz w:val="18"/>
              </w:rPr>
              <w:t>Due ore di preparazione × 30 €/ora = 60 €; due card prodotte/confezionate/spedite a costo ipotetico di 8 € ciascuna = 16 €. Totale iniziale 76 €.</w:t>
            </w:r>
          </w:p>
        </w:tc>
      </w:tr>
      <w:tr>
        <w:trPr>
          <w:cantSplit/>
        </w:trPr>
        <w:tc>
          <w:tcPr>
            <w:tcW w:type="dxa" w:w="5100"/>
          </w:tcPr>
          <w:p>
            <w:pPr>
              <w:spacing w:after="60"/>
            </w:pPr>
            <w:r>
              <w:rPr>
                <w:sz w:val="18"/>
              </w:rPr>
              <w:t>Acquisizione</w:t>
            </w:r>
          </w:p>
        </w:tc>
        <w:tc>
          <w:tcPr>
            <w:tcW w:type="dxa" w:w="5100"/>
          </w:tcPr>
          <w:p>
            <w:pPr>
              <w:spacing w:after="60"/>
            </w:pPr>
            <w:r>
              <w:rPr>
                <w:sz w:val="18"/>
              </w:rPr>
              <w:t>60 € per unità come ipotesi di lavoro commerciale, comunicazione e attivazione commerciale; distinto dalla preparazione operativa.</w:t>
            </w:r>
          </w:p>
        </w:tc>
      </w:tr>
      <w:tr>
        <w:trPr>
          <w:cantSplit/>
        </w:trPr>
        <w:tc>
          <w:tcPr>
            <w:tcW w:type="dxa" w:w="5100"/>
          </w:tcPr>
          <w:p>
            <w:pPr>
              <w:spacing w:after="60"/>
            </w:pPr>
            <w:r>
              <w:rPr>
                <w:sz w:val="18"/>
              </w:rPr>
              <w:t>Non incluso nelle quote simulate</w:t>
            </w:r>
          </w:p>
        </w:tc>
        <w:tc>
          <w:tcPr>
            <w:tcW w:type="dxa" w:w="5100"/>
          </w:tcPr>
          <w:p>
            <w:pPr>
              <w:spacing w:after="60"/>
            </w:pPr>
            <w:r>
              <w:rPr>
                <w:sz w:val="18"/>
              </w:rPr>
              <w:t>Costo dei lavori tecnici/materiali, emissione APE, elaborazioni 3D, urgenze garantite, garanzie morosità. Se inclusi bisogna stimare frequenza × costo medio e riaprire il modello.</w:t>
            </w:r>
          </w:p>
        </w:tc>
      </w:tr>
    </w:tbl>
    <w:p/>
    <w:tbl>
      <w:tblPr>
        <w:tblStyle w:val="LightShading-Accent1"/>
        <w:tblW w:type="auto" w:w="0"/>
        <w:tblLook w:firstColumn="1" w:firstRow="1" w:lastColumn="0" w:lastRow="0" w:noHBand="0" w:noVBand="1" w:val="04A0"/>
      </w:tblPr>
      <w:tblGrid>
        <w:gridCol w:w="2550"/>
        <w:gridCol w:w="2550"/>
        <w:gridCol w:w="2550"/>
        <w:gridCol w:w="2550"/>
      </w:tblGrid>
      <w:tr>
        <w:trPr>
          <w:tblHeader/>
        </w:trPr>
        <w:tc>
          <w:tcPr>
            <w:tcW w:type="dxa" w:w="2550"/>
          </w:tcPr>
          <w:p>
            <w:r>
              <w:t>Scenario</w:t>
            </w:r>
          </w:p>
        </w:tc>
        <w:tc>
          <w:tcPr>
            <w:tcW w:type="dxa" w:w="2550"/>
          </w:tcPr>
          <w:p>
            <w:r>
              <w:t>Ricavo netto IVA / anno</w:t>
            </w:r>
          </w:p>
        </w:tc>
        <w:tc>
          <w:tcPr>
            <w:tcW w:type="dxa" w:w="2550"/>
          </w:tcPr>
          <w:p>
            <w:r>
              <w:t>Costi diretti primo anno</w:t>
            </w:r>
          </w:p>
        </w:tc>
        <w:tc>
          <w:tcPr>
            <w:tcW w:type="dxa" w:w="2550"/>
          </w:tcPr>
          <w:p>
            <w:r>
              <w:t>Contributo primo anno prima dei fissi</w:t>
            </w:r>
          </w:p>
        </w:tc>
      </w:tr>
      <w:tr>
        <w:trPr>
          <w:cantSplit/>
        </w:trPr>
        <w:tc>
          <w:tcPr>
            <w:tcW w:type="dxa" w:w="2550"/>
          </w:tcPr>
          <w:p>
            <w:pPr>
              <w:spacing w:after="60"/>
            </w:pPr>
            <w:r>
              <w:rPr>
                <w:sz w:val="18"/>
              </w:rPr>
              <w:t>50 + 15 una volta l’anno</w:t>
            </w:r>
          </w:p>
        </w:tc>
        <w:tc>
          <w:tcPr>
            <w:tcW w:type="dxa" w:w="2550"/>
          </w:tcPr>
          <w:p>
            <w:pPr>
              <w:spacing w:after="60"/>
            </w:pPr>
            <w:r>
              <w:rPr>
                <w:sz w:val="18"/>
              </w:rPr>
              <w:t>53,28 €</w:t>
            </w:r>
          </w:p>
        </w:tc>
        <w:tc>
          <w:tcPr>
            <w:tcW w:type="dxa" w:w="2550"/>
          </w:tcPr>
          <w:p>
            <w:pPr>
              <w:spacing w:after="60"/>
            </w:pPr>
            <w:r>
              <w:rPr>
                <w:sz w:val="18"/>
              </w:rPr>
              <w:t>318,98 €</w:t>
            </w:r>
          </w:p>
        </w:tc>
        <w:tc>
          <w:tcPr>
            <w:tcW w:type="dxa" w:w="2550"/>
          </w:tcPr>
          <w:p>
            <w:pPr>
              <w:spacing w:after="60"/>
            </w:pPr>
            <w:r>
              <w:rPr>
                <w:sz w:val="18"/>
              </w:rPr>
              <w:t>−265,70 €</w:t>
            </w:r>
          </w:p>
        </w:tc>
      </w:tr>
      <w:tr>
        <w:trPr>
          <w:cantSplit/>
        </w:trPr>
        <w:tc>
          <w:tcPr>
            <w:tcW w:type="dxa" w:w="2550"/>
          </w:tcPr>
          <w:p>
            <w:pPr>
              <w:spacing w:after="60"/>
            </w:pPr>
            <w:r>
              <w:rPr>
                <w:sz w:val="18"/>
              </w:rPr>
              <w:t>50 + 15 ogni mese, supporto 20 min/mese</w:t>
            </w:r>
          </w:p>
        </w:tc>
        <w:tc>
          <w:tcPr>
            <w:tcW w:type="dxa" w:w="2550"/>
          </w:tcPr>
          <w:p>
            <w:pPr>
              <w:spacing w:after="60"/>
            </w:pPr>
            <w:r>
              <w:rPr>
                <w:sz w:val="18"/>
              </w:rPr>
              <w:t>639,34 €</w:t>
            </w:r>
          </w:p>
        </w:tc>
        <w:tc>
          <w:tcPr>
            <w:tcW w:type="dxa" w:w="2550"/>
          </w:tcPr>
          <w:p>
            <w:pPr>
              <w:spacing w:after="60"/>
            </w:pPr>
            <w:r>
              <w:rPr>
                <w:sz w:val="18"/>
              </w:rPr>
              <w:t>335,20 €</w:t>
            </w:r>
          </w:p>
        </w:tc>
        <w:tc>
          <w:tcPr>
            <w:tcW w:type="dxa" w:w="2550"/>
          </w:tcPr>
          <w:p>
            <w:pPr>
              <w:spacing w:after="60"/>
            </w:pPr>
            <w:r>
              <w:rPr>
                <w:sz w:val="18"/>
              </w:rPr>
              <w:t>304,14 € = 25,35 €/mese</w:t>
            </w:r>
          </w:p>
        </w:tc>
      </w:tr>
      <w:tr>
        <w:trPr>
          <w:cantSplit/>
        </w:trPr>
        <w:tc>
          <w:tcPr>
            <w:tcW w:type="dxa" w:w="2550"/>
          </w:tcPr>
          <w:p>
            <w:pPr>
              <w:spacing w:after="60"/>
            </w:pPr>
            <w:r>
              <w:rPr>
                <w:sz w:val="18"/>
              </w:rPr>
              <w:t>50 + 15 ogni mese, supporto 60 min/mese</w:t>
            </w:r>
          </w:p>
        </w:tc>
        <w:tc>
          <w:tcPr>
            <w:tcW w:type="dxa" w:w="2550"/>
          </w:tcPr>
          <w:p>
            <w:pPr>
              <w:spacing w:after="60"/>
            </w:pPr>
            <w:r>
              <w:rPr>
                <w:sz w:val="18"/>
              </w:rPr>
              <w:t>639,34 €</w:t>
            </w:r>
          </w:p>
        </w:tc>
        <w:tc>
          <w:tcPr>
            <w:tcW w:type="dxa" w:w="2550"/>
          </w:tcPr>
          <w:p>
            <w:pPr>
              <w:spacing w:after="60"/>
            </w:pPr>
            <w:r>
              <w:rPr>
                <w:sz w:val="18"/>
              </w:rPr>
              <w:t>575,20 €</w:t>
            </w:r>
          </w:p>
        </w:tc>
        <w:tc>
          <w:tcPr>
            <w:tcW w:type="dxa" w:w="2550"/>
          </w:tcPr>
          <w:p>
            <w:pPr>
              <w:spacing w:after="60"/>
            </w:pPr>
            <w:r>
              <w:rPr>
                <w:sz w:val="18"/>
              </w:rPr>
              <w:t>64,14 € = 5,35 €/mese</w:t>
            </w:r>
          </w:p>
        </w:tc>
      </w:tr>
    </w:tbl>
    <w:p/>
    <w:p>
      <w:r>
        <w:t>Formule: ricavo netto = prezzi lordi / (1 + aliquota ipotizzata); contributo = ricavo netto − lavoro − consulenze − costi variabili tecnologici − commissioni − costi iniziali − acquisizione. Nel caso annuale supporto e tecnologia restano ricorrenti per dodici mesi, mentre le due commissioni si pagano una volta; nel mensile ci sono ventiquattro addebiti delle quote. I canoni riscossi per i locatori non sono ricavo della piattaforma.</w:t>
      </w:r>
    </w:p>
    <w:p>
      <w:r>
        <w:t>I — Con queste sole ipotesi, 65 € annui non finanziano un servizio umano continuativo: anche al rinnovo, togliendo acquisizione e attivazione iniziale, resterebbero circa −129,70 € annui. Una quota annuale di questo ordine può sostenere un prodotto più leggero o fungere da tessera con servizi a consumo, ma il beneficio al cliente cambia. Il mensile ha più spazio economico, senza dimostrare che qualcuno sia disposto a pagarlo.</w:t>
      </w:r>
    </w:p>
    <w:p>
      <w:r>
        <w:t>H — Se i costi fissi aggiuntivi fossero 3.000 €/mese, esclusi i costi variabili già conteggiati e il recupero dell’investimento iniziale, servirebbero circa 119 unità con contributo di 25,35 €/mese, oppure 562 nel caso intensivo da 5,35 €. A questo punto va ricontrollata la capacità di personale: circa 40 ore/mese di supporto per 119 unità nello scenario base, contro circa 562 ore/mese nel caso intensivo. Non sono una previsione di vendite né una misura dell’organico sufficiente per tutti i compiti.</w:t>
      </w:r>
    </w:p>
    <w:p>
      <w:r>
        <w:t>P — Aggiornare mensilmente il modello per coorte: clienti paganti, percentuale inquilini paganti, immobili per abbonato, tempo di attivazione, minuti di supporto, interventi, costo consulenze, card perse, insoluti, rimborsi, abbandoni e costo acquisizione. Misurare margine dopo lavoro umano, periodo di recupero dei costi iniziali e cassa. Un abbonamento annuale incassato subito crea obblighi di servizio futuri; non è tutto utile disponibile.</w:t>
      </w:r>
    </w:p>
    <w:p>
      <w:r>
        <w:t>Se si rende gratuito l’accesso base dell’inquilino, il calcolo deve togliere i 15 € e mantenere i costi effettivamente sostenuti. Non basare la sostenibilità su adesione automatica di entrambe le parti. Ricavi da tecnici, consulenze extra o nuove compravendite vanno rendicontati separatamente finché non risultano ripetibili, trasparenti e contrattualizzati.</w:t>
      </w:r>
    </w:p>
    <w:p>
      <w:pPr>
        <w:pStyle w:val="Heading1"/>
      </w:pPr>
      <w:r>
        <w:t>11. Progettazione funzionale e tecnica proporzionata</w:t>
      </w:r>
    </w:p>
    <w:p>
      <w:pPr>
        <w:pStyle w:val="Heading2"/>
      </w:pPr>
      <w:r>
        <w:t>Requisiti prima della tecnologia</w:t>
      </w:r>
    </w:p>
    <w:p>
      <w:r>
        <w:t>Il sistema deve rappresentare persone con più ruoli, relazioni con date, documenti privati, scadenze, pagamenti con evidenze e richieste assegnate. Deve permettere correzioni senza perdere lo storico, revocare accessi quando cambia il rapporto e continuare a funzionare quando un’integrazione o una notifica falliscono. Deve essere semplice da usare dal telefono e dal banco dell’agenzia.</w:t>
      </w:r>
    </w:p>
    <w:tbl>
      <w:tblPr>
        <w:tblStyle w:val="LightShading-Accent1"/>
        <w:tblW w:type="auto" w:w="0"/>
        <w:tblLook w:firstColumn="1" w:firstRow="1" w:lastColumn="0" w:lastRow="0" w:noHBand="0" w:noVBand="1" w:val="04A0"/>
      </w:tblPr>
      <w:tblGrid>
        <w:gridCol w:w="5100"/>
        <w:gridCol w:w="5100"/>
      </w:tblGrid>
      <w:tr>
        <w:trPr>
          <w:tblHeader/>
        </w:trPr>
        <w:tc>
          <w:tcPr>
            <w:tcW w:type="dxa" w:w="5100"/>
          </w:tcPr>
          <w:p>
            <w:r>
              <w:t>Area / schermate</w:t>
            </w:r>
          </w:p>
        </w:tc>
        <w:tc>
          <w:tcPr>
            <w:tcW w:type="dxa" w:w="5100"/>
          </w:tcPr>
          <w:p>
            <w:r>
              <w:t>Contenuto essenziale</w:t>
            </w:r>
          </w:p>
        </w:tc>
      </w:tr>
      <w:tr>
        <w:trPr>
          <w:cantSplit/>
        </w:trPr>
        <w:tc>
          <w:tcPr>
            <w:tcW w:type="dxa" w:w="5100"/>
          </w:tcPr>
          <w:p>
            <w:pPr>
              <w:spacing w:after="60"/>
            </w:pPr>
            <w:r>
              <w:rPr>
                <w:sz w:val="18"/>
              </w:rPr>
              <w:t>Accesso e attivazione</w:t>
            </w:r>
          </w:p>
        </w:tc>
        <w:tc>
          <w:tcPr>
            <w:tcW w:type="dxa" w:w="5100"/>
          </w:tcPr>
          <w:p>
            <w:pPr>
              <w:spacing w:after="60"/>
            </w:pPr>
            <w:r>
              <w:rPr>
                <w:sz w:val="18"/>
              </w:rPr>
              <w:t>Invito, recupero account, verifica, condizioni e stato dell’adesione.</w:t>
            </w:r>
          </w:p>
        </w:tc>
      </w:tr>
      <w:tr>
        <w:trPr>
          <w:cantSplit/>
        </w:trPr>
        <w:tc>
          <w:tcPr>
            <w:tcW w:type="dxa" w:w="5100"/>
          </w:tcPr>
          <w:p>
            <w:pPr>
              <w:spacing w:after="60"/>
            </w:pPr>
            <w:r>
              <w:rPr>
                <w:sz w:val="18"/>
              </w:rPr>
              <w:t>Home</w:t>
            </w:r>
          </w:p>
        </w:tc>
        <w:tc>
          <w:tcPr>
            <w:tcW w:type="dxa" w:w="5100"/>
          </w:tcPr>
          <w:p>
            <w:pPr>
              <w:spacing w:after="60"/>
            </w:pPr>
            <w:r>
              <w:rPr>
                <w:sz w:val="18"/>
              </w:rPr>
              <w:t>Card visibile con dimensione proporzionata; prossima scadenza, richieste aperte e azioni utili. Selettore immobile e contesto del ruolo.</w:t>
            </w:r>
          </w:p>
        </w:tc>
      </w:tr>
      <w:tr>
        <w:trPr>
          <w:cantSplit/>
        </w:trPr>
        <w:tc>
          <w:tcPr>
            <w:tcW w:type="dxa" w:w="5100"/>
          </w:tcPr>
          <w:p>
            <w:pPr>
              <w:spacing w:after="60"/>
            </w:pPr>
            <w:r>
              <w:rPr>
                <w:sz w:val="18"/>
              </w:rPr>
              <w:t>Immobili e locazioni</w:t>
            </w:r>
          </w:p>
        </w:tc>
        <w:tc>
          <w:tcPr>
            <w:tcW w:type="dxa" w:w="5100"/>
          </w:tcPr>
          <w:p>
            <w:pPr>
              <w:spacing w:after="60"/>
            </w:pPr>
            <w:r>
              <w:rPr>
                <w:sz w:val="18"/>
              </w:rPr>
              <w:t>Lista, scheda casa/unità, parti autorizzate, contratto, storico e referenti tecnici.</w:t>
            </w:r>
          </w:p>
        </w:tc>
      </w:tr>
      <w:tr>
        <w:trPr>
          <w:cantSplit/>
        </w:trPr>
        <w:tc>
          <w:tcPr>
            <w:tcW w:type="dxa" w:w="5100"/>
          </w:tcPr>
          <w:p>
            <w:pPr>
              <w:spacing w:after="60"/>
            </w:pPr>
            <w:r>
              <w:rPr>
                <w:sz w:val="18"/>
              </w:rPr>
              <w:t>Documenti</w:t>
            </w:r>
          </w:p>
        </w:tc>
        <w:tc>
          <w:tcPr>
            <w:tcW w:type="dxa" w:w="5100"/>
          </w:tcPr>
          <w:p>
            <w:pPr>
              <w:spacing w:after="60"/>
            </w:pPr>
            <w:r>
              <w:rPr>
                <w:sz w:val="18"/>
              </w:rPr>
              <w:t>Categorie, scadenze, ricerca, caricamento, dettaglio versione e condivisioni attive.</w:t>
            </w:r>
          </w:p>
        </w:tc>
      </w:tr>
      <w:tr>
        <w:trPr>
          <w:cantSplit/>
        </w:trPr>
        <w:tc>
          <w:tcPr>
            <w:tcW w:type="dxa" w:w="5100"/>
          </w:tcPr>
          <w:p>
            <w:pPr>
              <w:spacing w:after="60"/>
            </w:pPr>
            <w:r>
              <w:rPr>
                <w:sz w:val="18"/>
              </w:rPr>
              <w:t>Affitto</w:t>
            </w:r>
          </w:p>
        </w:tc>
        <w:tc>
          <w:tcPr>
            <w:tcW w:type="dxa" w:w="5100"/>
          </w:tcPr>
          <w:p>
            <w:pPr>
              <w:spacing w:after="60"/>
            </w:pPr>
            <w:r>
              <w:rPr>
                <w:sz w:val="18"/>
              </w:rPr>
              <w:t>Calendario, dovuto/versato/residuo, prova dichiarata, verifica, ricevuta e contestazione.</w:t>
            </w:r>
          </w:p>
        </w:tc>
      </w:tr>
      <w:tr>
        <w:trPr>
          <w:cantSplit/>
        </w:trPr>
        <w:tc>
          <w:tcPr>
            <w:tcW w:type="dxa" w:w="5100"/>
          </w:tcPr>
          <w:p>
            <w:pPr>
              <w:spacing w:after="60"/>
            </w:pPr>
            <w:r>
              <w:rPr>
                <w:sz w:val="18"/>
              </w:rPr>
              <w:t>Utenze</w:t>
            </w:r>
          </w:p>
        </w:tc>
        <w:tc>
          <w:tcPr>
            <w:tcW w:type="dxa" w:w="5100"/>
          </w:tcPr>
          <w:p>
            <w:pPr>
              <w:spacing w:after="60"/>
            </w:pPr>
            <w:r>
              <w:rPr>
                <w:sz w:val="18"/>
              </w:rPr>
              <w:t>Forniture, bollette, scadenze, spese per periodo, metodo esterno/partner e ricevute.</w:t>
            </w:r>
          </w:p>
        </w:tc>
      </w:tr>
      <w:tr>
        <w:trPr>
          <w:cantSplit/>
        </w:trPr>
        <w:tc>
          <w:tcPr>
            <w:tcW w:type="dxa" w:w="5100"/>
          </w:tcPr>
          <w:p>
            <w:pPr>
              <w:spacing w:after="60"/>
            </w:pPr>
            <w:r>
              <w:rPr>
                <w:sz w:val="18"/>
              </w:rPr>
              <w:t>Assistenza</w:t>
            </w:r>
          </w:p>
        </w:tc>
        <w:tc>
          <w:tcPr>
            <w:tcW w:type="dxa" w:w="5100"/>
          </w:tcPr>
          <w:p>
            <w:pPr>
              <w:spacing w:after="60"/>
            </w:pPr>
            <w:r>
              <w:rPr>
                <w:sz w:val="18"/>
              </w:rPr>
              <w:t>Nuova richiesta, dettaglio pratica, messaggi, preventivo, appuntamento, esito e riapertura.</w:t>
            </w:r>
          </w:p>
        </w:tc>
      </w:tr>
      <w:tr>
        <w:trPr>
          <w:cantSplit/>
        </w:trPr>
        <w:tc>
          <w:tcPr>
            <w:tcW w:type="dxa" w:w="5100"/>
          </w:tcPr>
          <w:p>
            <w:pPr>
              <w:spacing w:after="60"/>
            </w:pPr>
            <w:r>
              <w:rPr>
                <w:sz w:val="18"/>
              </w:rPr>
              <w:t>Consulenze e piano</w:t>
            </w:r>
          </w:p>
        </w:tc>
        <w:tc>
          <w:tcPr>
            <w:tcW w:type="dxa" w:w="5100"/>
          </w:tcPr>
          <w:p>
            <w:pPr>
              <w:spacing w:after="60"/>
            </w:pPr>
            <w:r>
              <w:rPr>
                <w:sz w:val="18"/>
              </w:rPr>
              <w:t>Beneficio disponibile, prenotazione, documenti preparatori e versioni del piano.</w:t>
            </w:r>
          </w:p>
        </w:tc>
      </w:tr>
      <w:tr>
        <w:trPr>
          <w:cantSplit/>
        </w:trPr>
        <w:tc>
          <w:tcPr>
            <w:tcW w:type="dxa" w:w="5100"/>
          </w:tcPr>
          <w:p>
            <w:pPr>
              <w:spacing w:after="60"/>
            </w:pPr>
            <w:r>
              <w:rPr>
                <w:sz w:val="18"/>
              </w:rPr>
              <w:t>Card e abbonamento</w:t>
            </w:r>
          </w:p>
        </w:tc>
        <w:tc>
          <w:tcPr>
            <w:tcW w:type="dxa" w:w="5100"/>
          </w:tcPr>
          <w:p>
            <w:pPr>
              <w:spacing w:after="60"/>
            </w:pPr>
            <w:r>
              <w:rPr>
                <w:sz w:val="18"/>
              </w:rPr>
              <w:t>Richiesta fisica, consegna, blocco/sostituzione, piano, fatture, rinnovo e disdetta.</w:t>
            </w:r>
          </w:p>
        </w:tc>
      </w:tr>
      <w:tr>
        <w:trPr>
          <w:cantSplit/>
        </w:trPr>
        <w:tc>
          <w:tcPr>
            <w:tcW w:type="dxa" w:w="5100"/>
          </w:tcPr>
          <w:p>
            <w:pPr>
              <w:spacing w:after="60"/>
            </w:pPr>
            <w:r>
              <w:rPr>
                <w:sz w:val="18"/>
              </w:rPr>
              <w:t>Profilo e privacy</w:t>
            </w:r>
          </w:p>
        </w:tc>
        <w:tc>
          <w:tcPr>
            <w:tcW w:type="dxa" w:w="5100"/>
          </w:tcPr>
          <w:p>
            <w:pPr>
              <w:spacing w:after="60"/>
            </w:pPr>
            <w:r>
              <w:rPr>
                <w:sz w:val="18"/>
              </w:rPr>
              <w:t>Recapiti, sicurezza, deleghe, preferenze, esportazione e richieste sui dati.</w:t>
            </w:r>
          </w:p>
        </w:tc>
      </w:tr>
      <w:tr>
        <w:trPr>
          <w:cantSplit/>
        </w:trPr>
        <w:tc>
          <w:tcPr>
            <w:tcW w:type="dxa" w:w="5100"/>
          </w:tcPr>
          <w:p>
            <w:pPr>
              <w:spacing w:after="60"/>
            </w:pPr>
            <w:r>
              <w:rPr>
                <w:sz w:val="18"/>
              </w:rPr>
              <w:t>Pannello agenzia</w:t>
            </w:r>
          </w:p>
        </w:tc>
        <w:tc>
          <w:tcPr>
            <w:tcW w:type="dxa" w:w="5100"/>
          </w:tcPr>
          <w:p>
            <w:pPr>
              <w:spacing w:after="60"/>
            </w:pPr>
            <w:r>
              <w:rPr>
                <w:sz w:val="18"/>
              </w:rPr>
              <w:t>Code operative e gestione completa descritta nella sezione 7.</w:t>
            </w:r>
          </w:p>
        </w:tc>
      </w:tr>
      <w:tr>
        <w:trPr>
          <w:cantSplit/>
        </w:trPr>
        <w:tc>
          <w:tcPr>
            <w:tcW w:type="dxa" w:w="5100"/>
          </w:tcPr>
          <w:p>
            <w:pPr>
              <w:spacing w:after="60"/>
            </w:pPr>
            <w:r>
              <w:rPr>
                <w:sz w:val="18"/>
              </w:rPr>
              <w:t>Area tecnico essenziale</w:t>
            </w:r>
          </w:p>
        </w:tc>
        <w:tc>
          <w:tcPr>
            <w:tcW w:type="dxa" w:w="5100"/>
          </w:tcPr>
          <w:p>
            <w:pPr>
              <w:spacing w:after="60"/>
            </w:pPr>
            <w:r>
              <w:rPr>
                <w:sz w:val="18"/>
              </w:rPr>
              <w:t>Solo incarichi assegnati, accettazione, disponibilità, preventivo, foto e rapporto di chiusura.</w:t>
            </w:r>
          </w:p>
        </w:tc>
      </w:tr>
    </w:tbl>
    <w:p/>
    <w:p>
      <w:pPr>
        <w:pStyle w:val="Heading2"/>
      </w:pPr>
      <w:r>
        <w:t>Moduli e relazioni fondamentali</w:t>
      </w:r>
    </w:p>
    <w:tbl>
      <w:tblPr>
        <w:tblStyle w:val="LightShading-Accent1"/>
        <w:tblW w:type="auto" w:w="0"/>
        <w:tblLook w:firstColumn="1" w:firstRow="1" w:lastColumn="0" w:lastRow="0" w:noHBand="0" w:noVBand="1" w:val="04A0"/>
      </w:tblPr>
      <w:tblGrid>
        <w:gridCol w:w="5100"/>
        <w:gridCol w:w="5100"/>
      </w:tblGrid>
      <w:tr>
        <w:trPr>
          <w:tblHeader/>
        </w:trPr>
        <w:tc>
          <w:tcPr>
            <w:tcW w:type="dxa" w:w="5100"/>
          </w:tcPr>
          <w:p>
            <w:r>
              <w:t>Modulo / entità</w:t>
            </w:r>
          </w:p>
        </w:tc>
        <w:tc>
          <w:tcPr>
            <w:tcW w:type="dxa" w:w="5100"/>
          </w:tcPr>
          <w:p>
            <w:r>
              <w:t>Relazioni e vincoli principali</w:t>
            </w:r>
          </w:p>
        </w:tc>
      </w:tr>
      <w:tr>
        <w:trPr>
          <w:cantSplit/>
        </w:trPr>
        <w:tc>
          <w:tcPr>
            <w:tcW w:type="dxa" w:w="5100"/>
          </w:tcPr>
          <w:p>
            <w:pPr>
              <w:spacing w:after="60"/>
            </w:pPr>
            <w:r>
              <w:rPr>
                <w:sz w:val="18"/>
              </w:rPr>
              <w:t>Organizzazione, utente, appartenenza</w:t>
            </w:r>
          </w:p>
        </w:tc>
        <w:tc>
          <w:tcPr>
            <w:tcW w:type="dxa" w:w="5100"/>
          </w:tcPr>
          <w:p>
            <w:pPr>
              <w:spacing w:after="60"/>
            </w:pPr>
            <w:r>
              <w:rPr>
                <w:sz w:val="18"/>
              </w:rPr>
              <w:t>Un utente può appartenere a più organizzazioni con ruoli diversi. Le agenzie hanno confini di accesso separati.</w:t>
            </w:r>
          </w:p>
        </w:tc>
      </w:tr>
      <w:tr>
        <w:trPr>
          <w:cantSplit/>
        </w:trPr>
        <w:tc>
          <w:tcPr>
            <w:tcW w:type="dxa" w:w="5100"/>
          </w:tcPr>
          <w:p>
            <w:pPr>
              <w:spacing w:after="60"/>
            </w:pPr>
            <w:r>
              <w:rPr>
                <w:sz w:val="18"/>
              </w:rPr>
              <w:t>Persona/organizzazione giuridica, delega</w:t>
            </w:r>
          </w:p>
        </w:tc>
        <w:tc>
          <w:tcPr>
            <w:tcW w:type="dxa" w:w="5100"/>
          </w:tcPr>
          <w:p>
            <w:pPr>
              <w:spacing w:after="60"/>
            </w:pPr>
            <w:r>
              <w:rPr>
                <w:sz w:val="18"/>
              </w:rPr>
              <w:t>Chi accede può rappresentare sé, una società o un altro soggetto con delega verificata e scadenza.</w:t>
            </w:r>
          </w:p>
        </w:tc>
      </w:tr>
      <w:tr>
        <w:trPr>
          <w:cantSplit/>
        </w:trPr>
        <w:tc>
          <w:tcPr>
            <w:tcW w:type="dxa" w:w="5100"/>
          </w:tcPr>
          <w:p>
            <w:pPr>
              <w:spacing w:after="60"/>
            </w:pPr>
            <w:r>
              <w:rPr>
                <w:sz w:val="18"/>
              </w:rPr>
              <w:t>Immobile, unità, titolarità</w:t>
            </w:r>
          </w:p>
        </w:tc>
        <w:tc>
          <w:tcPr>
            <w:tcW w:type="dxa" w:w="5100"/>
          </w:tcPr>
          <w:p>
            <w:pPr>
              <w:spacing w:after="60"/>
            </w:pPr>
            <w:r>
              <w:rPr>
                <w:sz w:val="18"/>
              </w:rPr>
              <w:t>Più proprietari per immobile, più immobili per proprietario; quote e date. L’immobile non appartiene tecnicamente al primo account che lo inserisce.</w:t>
            </w:r>
          </w:p>
        </w:tc>
      </w:tr>
      <w:tr>
        <w:trPr>
          <w:cantSplit/>
        </w:trPr>
        <w:tc>
          <w:tcPr>
            <w:tcW w:type="dxa" w:w="5100"/>
          </w:tcPr>
          <w:p>
            <w:pPr>
              <w:spacing w:after="60"/>
            </w:pPr>
            <w:r>
              <w:rPr>
                <w:sz w:val="18"/>
              </w:rPr>
              <w:t>Contratto, parte contrattuale, periodo di occupazione</w:t>
            </w:r>
          </w:p>
        </w:tc>
        <w:tc>
          <w:tcPr>
            <w:tcW w:type="dxa" w:w="5100"/>
          </w:tcPr>
          <w:p>
            <w:pPr>
              <w:spacing w:after="60"/>
            </w:pPr>
            <w:r>
              <w:rPr>
                <w:sz w:val="18"/>
              </w:rPr>
              <w:t>Più conduttori e locatori, storico subentri e date. Una persona può essere locatore in un rapporto e conduttore in un altro.</w:t>
            </w:r>
          </w:p>
        </w:tc>
      </w:tr>
      <w:tr>
        <w:trPr>
          <w:cantSplit/>
        </w:trPr>
        <w:tc>
          <w:tcPr>
            <w:tcW w:type="dxa" w:w="5100"/>
          </w:tcPr>
          <w:p>
            <w:pPr>
              <w:spacing w:after="60"/>
            </w:pPr>
            <w:r>
              <w:rPr>
                <w:sz w:val="18"/>
              </w:rPr>
              <w:t>Documento, versione, autorizzazione</w:t>
            </w:r>
          </w:p>
        </w:tc>
        <w:tc>
          <w:tcPr>
            <w:tcW w:type="dxa" w:w="5100"/>
          </w:tcPr>
          <w:p>
            <w:pPr>
              <w:spacing w:after="60"/>
            </w:pPr>
            <w:r>
              <w:rPr>
                <w:sz w:val="18"/>
              </w:rPr>
              <w:t>Collegamento a immobile/contratto/pratica; file privato, visibilità per destinatario e ruolo, versioni immutabili pubblicate.</w:t>
            </w:r>
          </w:p>
        </w:tc>
      </w:tr>
      <w:tr>
        <w:trPr>
          <w:cantSplit/>
        </w:trPr>
        <w:tc>
          <w:tcPr>
            <w:tcW w:type="dxa" w:w="5100"/>
          </w:tcPr>
          <w:p>
            <w:pPr>
              <w:spacing w:after="60"/>
            </w:pPr>
            <w:r>
              <w:rPr>
                <w:sz w:val="18"/>
              </w:rPr>
              <w:t>Scadenza, importo dovuto, allocazione</w:t>
            </w:r>
          </w:p>
        </w:tc>
        <w:tc>
          <w:tcPr>
            <w:tcW w:type="dxa" w:w="5100"/>
          </w:tcPr>
          <w:p>
            <w:pPr>
              <w:spacing w:after="60"/>
            </w:pPr>
            <w:r>
              <w:rPr>
                <w:sz w:val="18"/>
              </w:rPr>
              <w:t>Un dovuto può ricevere più pagamenti; un pagamento può coprire più dovuti. Importi monetari a precisione fissa, valuta e periodo espliciti.</w:t>
            </w:r>
          </w:p>
        </w:tc>
      </w:tr>
      <w:tr>
        <w:trPr>
          <w:cantSplit/>
        </w:trPr>
        <w:tc>
          <w:tcPr>
            <w:tcW w:type="dxa" w:w="5100"/>
          </w:tcPr>
          <w:p>
            <w:pPr>
              <w:spacing w:after="60"/>
            </w:pPr>
            <w:r>
              <w:rPr>
                <w:sz w:val="18"/>
              </w:rPr>
              <w:t>Dichiarazione, evidenza, transazione, verifica, quietanza</w:t>
            </w:r>
          </w:p>
        </w:tc>
        <w:tc>
          <w:tcPr>
            <w:tcW w:type="dxa" w:w="5100"/>
          </w:tcPr>
          <w:p>
            <w:pPr>
              <w:spacing w:after="60"/>
            </w:pPr>
            <w:r>
              <w:rPr>
                <w:sz w:val="18"/>
              </w:rPr>
              <w:t>Entità/eventi distinti. Identificativo partner univoco, autore della verifica e riferimento al documento emesso.</w:t>
            </w:r>
          </w:p>
        </w:tc>
      </w:tr>
      <w:tr>
        <w:trPr>
          <w:cantSplit/>
        </w:trPr>
        <w:tc>
          <w:tcPr>
            <w:tcW w:type="dxa" w:w="5100"/>
          </w:tcPr>
          <w:p>
            <w:pPr>
              <w:spacing w:after="60"/>
            </w:pPr>
            <w:r>
              <w:rPr>
                <w:sz w:val="18"/>
              </w:rPr>
              <w:t>Utenza, intestazione, bolletta</w:t>
            </w:r>
          </w:p>
        </w:tc>
        <w:tc>
          <w:tcPr>
            <w:tcW w:type="dxa" w:w="5100"/>
          </w:tcPr>
          <w:p>
            <w:pPr>
              <w:spacing w:after="60"/>
            </w:pPr>
            <w:r>
              <w:rPr>
                <w:sz w:val="18"/>
              </w:rPr>
              <w:t>Fornitura e intestatario nel tempo; dati del vecchio contratto isolati dal nuovo inquilino.</w:t>
            </w:r>
          </w:p>
        </w:tc>
      </w:tr>
      <w:tr>
        <w:trPr>
          <w:cantSplit/>
        </w:trPr>
        <w:tc>
          <w:tcPr>
            <w:tcW w:type="dxa" w:w="5100"/>
          </w:tcPr>
          <w:p>
            <w:pPr>
              <w:spacing w:after="60"/>
            </w:pPr>
            <w:r>
              <w:rPr>
                <w:sz w:val="18"/>
              </w:rPr>
              <w:t>Richiesta, incarico, preventivo, intervento</w:t>
            </w:r>
          </w:p>
        </w:tc>
        <w:tc>
          <w:tcPr>
            <w:tcW w:type="dxa" w:w="5100"/>
          </w:tcPr>
          <w:p>
            <w:pPr>
              <w:spacing w:after="60"/>
            </w:pPr>
            <w:r>
              <w:rPr>
                <w:sz w:val="18"/>
              </w:rPr>
              <w:t>Richiesta del cliente distinta dal lavoro del tecnico; approvazione del costo e delle variazioni conservata.</w:t>
            </w:r>
          </w:p>
        </w:tc>
      </w:tr>
      <w:tr>
        <w:trPr>
          <w:cantSplit/>
        </w:trPr>
        <w:tc>
          <w:tcPr>
            <w:tcW w:type="dxa" w:w="5100"/>
          </w:tcPr>
          <w:p>
            <w:pPr>
              <w:spacing w:after="60"/>
            </w:pPr>
            <w:r>
              <w:rPr>
                <w:sz w:val="18"/>
              </w:rPr>
              <w:t>Consulenza, prenotazione, piano</w:t>
            </w:r>
          </w:p>
        </w:tc>
        <w:tc>
          <w:tcPr>
            <w:tcW w:type="dxa" w:w="5100"/>
          </w:tcPr>
          <w:p>
            <w:pPr>
              <w:spacing w:after="60"/>
            </w:pPr>
            <w:r>
              <w:rPr>
                <w:sz w:val="18"/>
              </w:rPr>
              <w:t>Disponibilità e annullamento; beneficio annuale consumato secondo regola; piano con versioni e ipotesi.</w:t>
            </w:r>
          </w:p>
        </w:tc>
      </w:tr>
      <w:tr>
        <w:trPr>
          <w:cantSplit/>
        </w:trPr>
        <w:tc>
          <w:tcPr>
            <w:tcW w:type="dxa" w:w="5100"/>
          </w:tcPr>
          <w:p>
            <w:pPr>
              <w:spacing w:after="60"/>
            </w:pPr>
            <w:r>
              <w:rPr>
                <w:sz w:val="18"/>
              </w:rPr>
              <w:t>Abbonamento, diritti, credenziale card</w:t>
            </w:r>
          </w:p>
        </w:tc>
        <w:tc>
          <w:tcPr>
            <w:tcW w:type="dxa" w:w="5100"/>
          </w:tcPr>
          <w:p>
            <w:pPr>
              <w:spacing w:after="60"/>
            </w:pPr>
            <w:r>
              <w:rPr>
                <w:sz w:val="18"/>
              </w:rPr>
              <w:t>Piano e benefici non coincidono con ruolo o account; più credenziali revocabili e sostituzioni tracciate.</w:t>
            </w:r>
          </w:p>
        </w:tc>
      </w:tr>
      <w:tr>
        <w:trPr>
          <w:cantSplit/>
        </w:trPr>
        <w:tc>
          <w:tcPr>
            <w:tcW w:type="dxa" w:w="5100"/>
          </w:tcPr>
          <w:p>
            <w:pPr>
              <w:spacing w:after="60"/>
            </w:pPr>
            <w:r>
              <w:rPr>
                <w:sz w:val="18"/>
              </w:rPr>
              <w:t>Notifica, evento di audit, integrazione</w:t>
            </w:r>
          </w:p>
        </w:tc>
        <w:tc>
          <w:tcPr>
            <w:tcW w:type="dxa" w:w="5100"/>
          </w:tcPr>
          <w:p>
            <w:pPr>
              <w:spacing w:after="60"/>
            </w:pPr>
            <w:r>
              <w:rPr>
                <w:sz w:val="18"/>
              </w:rPr>
              <w:t>Consegna fallita gestita; chi ha fatto cosa, su quale oggetto e con quale esito. Segreti di integrazione separati dai dati applicativi.</w:t>
            </w:r>
          </w:p>
        </w:tc>
      </w:tr>
    </w:tbl>
    <w:p/>
    <w:p>
      <w:r>
        <w:t>Schema logico: Agenzia → mandati/relazioni → Immobili e contratti ↔ Parti. Account → deleghe/ruoli → accessi agli oggetti. Contratto → dovuti ← allocazioni → transazioni/evidenze → verifiche → quietanze. Immobile → documenti, utenze e richieste → incarichi tecnici. Abbonamento → benefici → card personali. Nessun accesso si ricava soltanto dal possesso dell’ID di un oggetto.</w:t>
      </w:r>
    </w:p>
    <w:tbl>
      <w:tblPr>
        <w:tblStyle w:val="LightShading-Accent1"/>
        <w:tblW w:type="auto" w:w="0"/>
        <w:tblLook w:firstColumn="1" w:firstRow="1" w:lastColumn="0" w:lastRow="0" w:noHBand="0" w:noVBand="1" w:val="04A0"/>
      </w:tblPr>
      <w:tblGrid>
        <w:gridCol w:w="5100"/>
        <w:gridCol w:w="5100"/>
      </w:tblGrid>
      <w:tr>
        <w:trPr>
          <w:tblHeader/>
        </w:trPr>
        <w:tc>
          <w:tcPr>
            <w:tcW w:type="dxa" w:w="5100"/>
          </w:tcPr>
          <w:p>
            <w:r>
              <w:t>Ruolo</w:t>
            </w:r>
          </w:p>
        </w:tc>
        <w:tc>
          <w:tcPr>
            <w:tcW w:type="dxa" w:w="5100"/>
          </w:tcPr>
          <w:p>
            <w:r>
              <w:t>Permessi e limiti</w:t>
            </w:r>
          </w:p>
        </w:tc>
      </w:tr>
      <w:tr>
        <w:trPr>
          <w:cantSplit/>
        </w:trPr>
        <w:tc>
          <w:tcPr>
            <w:tcW w:type="dxa" w:w="5100"/>
          </w:tcPr>
          <w:p>
            <w:pPr>
              <w:spacing w:after="60"/>
            </w:pPr>
            <w:r>
              <w:rPr>
                <w:sz w:val="18"/>
              </w:rPr>
              <w:t>Proprietario</w:t>
            </w:r>
          </w:p>
        </w:tc>
        <w:tc>
          <w:tcPr>
            <w:tcW w:type="dxa" w:w="5100"/>
          </w:tcPr>
          <w:p>
            <w:pPr>
              <w:spacing w:after="60"/>
            </w:pPr>
            <w:r>
              <w:rPr>
                <w:sz w:val="18"/>
              </w:rPr>
              <w:t>Solo immobili/rapporti pertinenti; documenti e stati condivisibili, verifiche se beneficiario, autorizzazioni secondo mandato. Nessuna visibilità universale sulle utenze dell’inquilino.</w:t>
            </w:r>
          </w:p>
        </w:tc>
      </w:tr>
      <w:tr>
        <w:trPr>
          <w:cantSplit/>
        </w:trPr>
        <w:tc>
          <w:tcPr>
            <w:tcW w:type="dxa" w:w="5100"/>
          </w:tcPr>
          <w:p>
            <w:pPr>
              <w:spacing w:after="60"/>
            </w:pPr>
            <w:r>
              <w:rPr>
                <w:sz w:val="18"/>
              </w:rPr>
              <w:t>Inquilino</w:t>
            </w:r>
          </w:p>
        </w:tc>
        <w:tc>
          <w:tcPr>
            <w:tcW w:type="dxa" w:w="5100"/>
          </w:tcPr>
          <w:p>
            <w:pPr>
              <w:spacing w:after="60"/>
            </w:pPr>
            <w:r>
              <w:rPr>
                <w:sz w:val="18"/>
              </w:rPr>
              <w:t>Proprio contratto e documenti pertinenti, dichiarazioni pagamento, bollette proprie, richieste e appuntamenti. Nessuna modifica dei dati di proprietà o delle prove altrui.</w:t>
            </w:r>
          </w:p>
        </w:tc>
      </w:tr>
      <w:tr>
        <w:trPr>
          <w:cantSplit/>
        </w:trPr>
        <w:tc>
          <w:tcPr>
            <w:tcW w:type="dxa" w:w="5100"/>
          </w:tcPr>
          <w:p>
            <w:pPr>
              <w:spacing w:after="60"/>
            </w:pPr>
            <w:r>
              <w:rPr>
                <w:sz w:val="18"/>
              </w:rPr>
              <w:t>Delegato/comproprietario</w:t>
            </w:r>
          </w:p>
        </w:tc>
        <w:tc>
          <w:tcPr>
            <w:tcW w:type="dxa" w:w="5100"/>
          </w:tcPr>
          <w:p>
            <w:pPr>
              <w:spacing w:after="60"/>
            </w:pPr>
            <w:r>
              <w:rPr>
                <w:sz w:val="18"/>
              </w:rPr>
              <w:t>Permessi espliciti, ambito e validità. Il ruolo di comproprietario non assegna automaticamente potere di rappresentare tutti gli altri.</w:t>
            </w:r>
          </w:p>
        </w:tc>
      </w:tr>
      <w:tr>
        <w:trPr>
          <w:cantSplit/>
        </w:trPr>
        <w:tc>
          <w:tcPr>
            <w:tcW w:type="dxa" w:w="5100"/>
          </w:tcPr>
          <w:p>
            <w:pPr>
              <w:spacing w:after="60"/>
            </w:pPr>
            <w:r>
              <w:rPr>
                <w:sz w:val="18"/>
              </w:rPr>
              <w:t>Operatore agenzia</w:t>
            </w:r>
          </w:p>
        </w:tc>
        <w:tc>
          <w:tcPr>
            <w:tcW w:type="dxa" w:w="5100"/>
          </w:tcPr>
          <w:p>
            <w:pPr>
              <w:spacing w:after="60"/>
            </w:pPr>
            <w:r>
              <w:rPr>
                <w:sz w:val="18"/>
              </w:rPr>
              <w:t>Casi assegnati e funzioni autorizzate. Amministratore gestisce ruoli; attività sensibili tracciate e, dove necessario, approvate da un secondo referente.</w:t>
            </w:r>
          </w:p>
        </w:tc>
      </w:tr>
      <w:tr>
        <w:trPr>
          <w:cantSplit/>
        </w:trPr>
        <w:tc>
          <w:tcPr>
            <w:tcW w:type="dxa" w:w="5100"/>
          </w:tcPr>
          <w:p>
            <w:pPr>
              <w:spacing w:after="60"/>
            </w:pPr>
            <w:r>
              <w:rPr>
                <w:sz w:val="18"/>
              </w:rPr>
              <w:t>Tecnico/consulente</w:t>
            </w:r>
          </w:p>
        </w:tc>
        <w:tc>
          <w:tcPr>
            <w:tcW w:type="dxa" w:w="5100"/>
          </w:tcPr>
          <w:p>
            <w:pPr>
              <w:spacing w:after="60"/>
            </w:pPr>
            <w:r>
              <w:rPr>
                <w:sz w:val="18"/>
              </w:rPr>
              <w:t>Solo incarico e documenti necessari; nessuna consultazione generale di affitti o dati economici estranei.</w:t>
            </w:r>
          </w:p>
        </w:tc>
      </w:tr>
      <w:tr>
        <w:trPr>
          <w:cantSplit/>
        </w:trPr>
        <w:tc>
          <w:tcPr>
            <w:tcW w:type="dxa" w:w="5100"/>
          </w:tcPr>
          <w:p>
            <w:pPr>
              <w:spacing w:after="60"/>
            </w:pPr>
            <w:r>
              <w:rPr>
                <w:sz w:val="18"/>
              </w:rPr>
              <w:t>Supporto piattaforma</w:t>
            </w:r>
          </w:p>
        </w:tc>
        <w:tc>
          <w:tcPr>
            <w:tcW w:type="dxa" w:w="5100"/>
          </w:tcPr>
          <w:p>
            <w:pPr>
              <w:spacing w:after="60"/>
            </w:pPr>
            <w:r>
              <w:rPr>
                <w:sz w:val="18"/>
              </w:rPr>
              <w:t>Accesso operativo minimo; accesso eccezionale ai contenuti motivato, limitato e registrato. Separazione dal ruolo di operatore dell’agenzia.</w:t>
            </w:r>
          </w:p>
        </w:tc>
      </w:tr>
    </w:tbl>
    <w:p/>
    <w:p>
      <w:pPr>
        <w:pStyle w:val="Heading2"/>
      </w:pPr>
      <w:r>
        <w:t>Architettura proposta e integrazioni</w:t>
      </w:r>
    </w:p>
    <w:p>
      <w:r>
        <w:t>P — Per V1: un’applicazione web modulare con un backend unico, database relazionale per relazioni e importi, archivio file privato, servizio di autenticazione affidabile, coda per notifiche/elaborazioni e ambienti separati di prova e produzione. API versionate riutilizzabili da PWA, eventuale app e futuri totem. Linguaggio e framework da scegliere secondo competenze del team, manutenzione e costo; non servono subito microservizi, blockchain o un motore 3D proprietario.</w:t>
      </w:r>
    </w:p>
    <w:p>
      <w:r>
        <w:t>Integrazioni V1: email, eventuali SMS di verifica/urgenza, pagamento della quota, stampa/spedizione card e calendario; importazione documenti assistita. Condizionate: centralino, PSP canoni/bollettini, dati bancari tramite soggetto autorizzato, 3D esterno, firma elettronica qualificata al bisogno. Crescita: CRM dell’agenzia, fatturazione, integrazioni documentali consentite, canali di assistenza e API per altre agenzie. Non raccogliere password di home banking o SPID e non presumere API pubbliche universali di catasti/utenze.</w:t>
      </w:r>
    </w:p>
    <w:p>
      <w:pPr>
        <w:pStyle w:val="Heading2"/>
      </w:pPr>
      <w:r>
        <w:t>Sicurezza, tracciabilità e continuità</w:t>
      </w:r>
    </w:p>
    <w:p>
      <w:pPr>
        <w:pStyle w:val="ListBullet"/>
      </w:pPr>
      <w:r>
        <w:t>Autorizzazioni verificate sul server per ogni oggetto e file; test con utenti di altre case, ex inquilini e altre agenzie. Collegamenti ai file brevi e revocabili, mai archivio pubblico.</w:t>
      </w:r>
    </w:p>
    <w:p>
      <w:pPr>
        <w:pStyle w:val="ListBullet"/>
      </w:pPr>
      <w:r>
        <w:t>Cifratura in transito e a riposo; MFA operatori; limitazione tentativi, recupero account verificato, scadenza sessioni e revoca card. Modifica IBAN con verifica separata e notifica al beneficiario.</w:t>
      </w:r>
    </w:p>
    <w:p>
      <w:pPr>
        <w:pStyle w:val="ListBullet"/>
      </w:pPr>
      <w:r>
        <w:t>Scansione allegati, limiti di formato/dimensione, protezione caricamenti e controllo delle versioni; minimizzazione di foto, documenti identità e dati delle bollette.</w:t>
      </w:r>
    </w:p>
    <w:p>
      <w:pPr>
        <w:pStyle w:val="ListBullet"/>
      </w:pPr>
      <w:r>
        <w:t>Registro eventi per accessi sensibili, condivisioni, verifiche, deleghe e pagamenti; correzioni esplicite, niente cancellazione silenziosa delle evidenze. Evitare documenti e segreti nei log tecnici.</w:t>
      </w:r>
    </w:p>
    <w:p>
      <w:pPr>
        <w:pStyle w:val="ListBullet"/>
      </w:pPr>
      <w:r>
        <w:t>Backup automatici e prove di ripristino. H per pilota: perdita massima obiettivo 24 ore e ripristino entro un giorno lavorativo; flussi di pagamento recuperabili dal partner. Migliorare gli obiettivi se si promette servizio operativo continuativo.</w:t>
      </w:r>
    </w:p>
    <w:p>
      <w:pPr>
        <w:pStyle w:val="ListBullet"/>
      </w:pPr>
      <w:r>
        <w:t>Notifiche con esito e coda di errore; richiesta ricevuta solo dopo salvataggio confermato. Nessuna azione finanziaria offline. Pagina informativa e procedura umana durante indisponibilità.</w:t>
      </w:r>
    </w:p>
    <w:p>
      <w:pPr>
        <w:pStyle w:val="ListBullet"/>
      </w:pPr>
      <w:r>
        <w:t>Accordi con fornitori, gestione vulnerabilità, aggiornamenti, incidenti e cancellazione per categorie. Accessibilità da tastiera e lettori di schermo, contrasto, linguaggio chiaro e alternative a colori/QR.</w:t>
      </w:r>
    </w:p>
    <w:p>
      <w:pPr>
        <w:pStyle w:val="ListBullet"/>
      </w:pPr>
      <w:r>
        <w:t>Prima di aprire a nuove agenzie: verifica indipendente dell’isolamento dati e dei pagamenti, procedure di esportazione/uscita, osservabilità e limiti di carico. La sola presenza di un campo agency_id non è isolamento sufficiente.</w:t>
      </w:r>
    </w:p>
    <w:p>
      <w:pPr>
        <w:pStyle w:val="Heading1"/>
      </w:pPr>
      <w:r>
        <w:t>12. Pilota concreto e metriche di decisione</w:t>
      </w:r>
    </w:p>
    <w:p>
      <w:r>
        <w:t>P/H — Pilota con una sola agenzia, una zona raggiungibile e 20–30 immobili in locazione, circa 15–20 proprietari e relativi nuclei inquilini; i numeri dipendono dal portafoglio reale. Includere almeno due multiproprietari, una comproprietà, un contratto con più conduttori e utenti con bassa familiarità digitale. Prevedere un responsabile, un sostituto, 3–5 tecnici per categorie coperte e un consulente; non promettere tutte le specialità se manca un sostituto.</w:t>
      </w:r>
    </w:p>
    <w:p>
      <w:r>
        <w:t>Prima del software: 8–10 colloqui con proprietari e 8–10 con inquilini su episodi recenti, documenti realmente cercati, pagamenti e guasti; osservare operatori per una settimana e misurare il tempo. Confrontare anche chi rifiuta l’offerta. Mostrare un catalogo e chiedere un impegno economico coerente con la quota ipotizzata, senza confondere interesse dichiarato e acquisto.</w:t>
      </w:r>
    </w:p>
    <w:p>
      <w:r>
        <w:t>Esecuzione: attivazione assistita, fascicolo iniziale, almeno due scadenze mensili, richieste reali quando presenti, prove controllate di guasto fuori orario, smarrimento card, bonifico non accreditato e cambio inquilino. Dati di prova per simulazioni, distinti da pagamenti reali. Testare su un piccolo sottogruppo 3D/consulenza e uso della card in agenzia; se i pagamenti integrati sono centrali, testarli con il partner e beneficiari verificati.</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tcPr>
          <w:p>
            <w:r>
              <w:t>Metrica</w:t>
            </w:r>
          </w:p>
        </w:tc>
        <w:tc>
          <w:tcPr>
            <w:tcW w:type="dxa" w:w="3400"/>
          </w:tcPr>
          <w:p>
            <w:r>
              <w:t>Soglia di lavoro proposta</w:t>
            </w:r>
          </w:p>
        </w:tc>
        <w:tc>
          <w:tcPr>
            <w:tcW w:type="dxa" w:w="3400"/>
          </w:tcPr>
          <w:p>
            <w:r>
              <w:t>Significato / limite</w:t>
            </w:r>
          </w:p>
        </w:tc>
      </w:tr>
      <w:tr>
        <w:trPr>
          <w:cantSplit/>
        </w:trPr>
        <w:tc>
          <w:tcPr>
            <w:tcW w:type="dxa" w:w="3400"/>
          </w:tcPr>
          <w:p>
            <w:pPr>
              <w:spacing w:after="60"/>
            </w:pPr>
            <w:r>
              <w:rPr>
                <w:sz w:val="18"/>
              </w:rPr>
              <w:t>Attivazione</w:t>
            </w:r>
          </w:p>
        </w:tc>
        <w:tc>
          <w:tcPr>
            <w:tcW w:type="dxa" w:w="3400"/>
          </w:tcPr>
          <w:p>
            <w:pPr>
              <w:spacing w:after="60"/>
            </w:pPr>
            <w:r>
              <w:rPr>
                <w:sz w:val="18"/>
              </w:rPr>
              <w:t>≥80% invitati completa entro 7 giorni; onboarding operativo mediano ≤90 min/immobile.</w:t>
            </w:r>
          </w:p>
        </w:tc>
        <w:tc>
          <w:tcPr>
            <w:tcW w:type="dxa" w:w="3400"/>
          </w:tcPr>
          <w:p>
            <w:pPr>
              <w:spacing w:after="60"/>
            </w:pPr>
            <w:r>
              <w:rPr>
                <w:sz w:val="18"/>
              </w:rPr>
              <w:t>Misura facilità e costo. Separare tempo del cliente e dell’agenzia.</w:t>
            </w:r>
          </w:p>
        </w:tc>
      </w:tr>
      <w:tr>
        <w:trPr>
          <w:cantSplit/>
        </w:trPr>
        <w:tc>
          <w:tcPr>
            <w:tcW w:type="dxa" w:w="3400"/>
          </w:tcPr>
          <w:p>
            <w:pPr>
              <w:spacing w:after="60"/>
            </w:pPr>
            <w:r>
              <w:rPr>
                <w:sz w:val="18"/>
              </w:rPr>
              <w:t>Fascicolo</w:t>
            </w:r>
          </w:p>
        </w:tc>
        <w:tc>
          <w:tcPr>
            <w:tcW w:type="dxa" w:w="3400"/>
          </w:tcPr>
          <w:p>
            <w:pPr>
              <w:spacing w:after="60"/>
            </w:pPr>
            <w:r>
              <w:rPr>
                <w:sz w:val="18"/>
              </w:rPr>
              <w:t>≥90% documenti richiesti per il perimetro concordato presenti o esplicitamente segnalati come mancanti.</w:t>
            </w:r>
          </w:p>
        </w:tc>
        <w:tc>
          <w:tcPr>
            <w:tcW w:type="dxa" w:w="3400"/>
          </w:tcPr>
          <w:p>
            <w:pPr>
              <w:spacing w:after="60"/>
            </w:pPr>
            <w:r>
              <w:rPr>
                <w:sz w:val="18"/>
              </w:rPr>
              <w:t>Completezza informativa, non certificazione legale.</w:t>
            </w:r>
          </w:p>
        </w:tc>
      </w:tr>
      <w:tr>
        <w:trPr>
          <w:cantSplit/>
        </w:trPr>
        <w:tc>
          <w:tcPr>
            <w:tcW w:type="dxa" w:w="3400"/>
          </w:tcPr>
          <w:p>
            <w:pPr>
              <w:spacing w:after="60"/>
            </w:pPr>
            <w:r>
              <w:rPr>
                <w:sz w:val="18"/>
              </w:rPr>
              <w:t>Uso</w:t>
            </w:r>
          </w:p>
        </w:tc>
        <w:tc>
          <w:tcPr>
            <w:tcW w:type="dxa" w:w="3400"/>
          </w:tcPr>
          <w:p>
            <w:pPr>
              <w:spacing w:after="60"/>
            </w:pPr>
            <w:r>
              <w:rPr>
                <w:sz w:val="18"/>
              </w:rPr>
              <w:t>≥60% delle unità compie un’azione utile per ciclo mensile.</w:t>
            </w:r>
          </w:p>
        </w:tc>
        <w:tc>
          <w:tcPr>
            <w:tcW w:type="dxa" w:w="3400"/>
          </w:tcPr>
          <w:p>
            <w:pPr>
              <w:spacing w:after="60"/>
            </w:pPr>
            <w:r>
              <w:rPr>
                <w:sz w:val="18"/>
              </w:rPr>
              <w:t>Consultazione documento, gestione scadenza o richiesta; non semplici accessi o apertura card.</w:t>
            </w:r>
          </w:p>
        </w:tc>
      </w:tr>
      <w:tr>
        <w:trPr>
          <w:cantSplit/>
        </w:trPr>
        <w:tc>
          <w:tcPr>
            <w:tcW w:type="dxa" w:w="3400"/>
          </w:tcPr>
          <w:p>
            <w:pPr>
              <w:spacing w:after="60"/>
            </w:pPr>
            <w:r>
              <w:rPr>
                <w:sz w:val="18"/>
              </w:rPr>
              <w:t>Assistenza</w:t>
            </w:r>
          </w:p>
        </w:tc>
        <w:tc>
          <w:tcPr>
            <w:tcW w:type="dxa" w:w="3400"/>
          </w:tcPr>
          <w:p>
            <w:pPr>
              <w:spacing w:after="60"/>
            </w:pPr>
            <w:r>
              <w:rPr>
                <w:sz w:val="18"/>
              </w:rPr>
              <w:t>≥90% prese in carico entro l’obiettivo dichiarato; nessuna richiesta senza assegnatario oltre un giorno lavorativo.</w:t>
            </w:r>
          </w:p>
        </w:tc>
        <w:tc>
          <w:tcPr>
            <w:tcW w:type="dxa" w:w="3400"/>
          </w:tcPr>
          <w:p>
            <w:pPr>
              <w:spacing w:after="60"/>
            </w:pPr>
            <w:r>
              <w:rPr>
                <w:sz w:val="18"/>
              </w:rPr>
              <w:t>Distinguere risposta da soluzione e tempi del tecnico.</w:t>
            </w:r>
          </w:p>
        </w:tc>
      </w:tr>
      <w:tr>
        <w:trPr>
          <w:cantSplit/>
        </w:trPr>
        <w:tc>
          <w:tcPr>
            <w:tcW w:type="dxa" w:w="3400"/>
          </w:tcPr>
          <w:p>
            <w:pPr>
              <w:spacing w:after="60"/>
            </w:pPr>
            <w:r>
              <w:rPr>
                <w:sz w:val="18"/>
              </w:rPr>
              <w:t>Lavoro e margine</w:t>
            </w:r>
          </w:p>
        </w:tc>
        <w:tc>
          <w:tcPr>
            <w:tcW w:type="dxa" w:w="3400"/>
          </w:tcPr>
          <w:p>
            <w:pPr>
              <w:spacing w:after="60"/>
            </w:pPr>
            <w:r>
              <w:rPr>
                <w:sz w:val="18"/>
              </w:rPr>
              <w:t>Misurare media, mediana e picchi; puntare al costo base del modello con contributo positivo dopo costo pieno del lavoro.</w:t>
            </w:r>
          </w:p>
        </w:tc>
        <w:tc>
          <w:tcPr>
            <w:tcW w:type="dxa" w:w="3400"/>
          </w:tcPr>
          <w:p>
            <w:pPr>
              <w:spacing w:after="60"/>
            </w:pPr>
            <w:r>
              <w:rPr>
                <w:sz w:val="18"/>
              </w:rPr>
              <w:t>Se il lavoro triplica, cambiare prezzo/copertura o processo prima di aumentare utenti.</w:t>
            </w:r>
          </w:p>
        </w:tc>
      </w:tr>
      <w:tr>
        <w:trPr>
          <w:cantSplit/>
        </w:trPr>
        <w:tc>
          <w:tcPr>
            <w:tcW w:type="dxa" w:w="3400"/>
          </w:tcPr>
          <w:p>
            <w:pPr>
              <w:spacing w:after="60"/>
            </w:pPr>
            <w:r>
              <w:rPr>
                <w:sz w:val="18"/>
              </w:rPr>
              <w:t>Valore pagante</w:t>
            </w:r>
          </w:p>
        </w:tc>
        <w:tc>
          <w:tcPr>
            <w:tcW w:type="dxa" w:w="3400"/>
          </w:tcPr>
          <w:p>
            <w:pPr>
              <w:spacing w:after="60"/>
            </w:pPr>
            <w:r>
              <w:rPr>
                <w:sz w:val="18"/>
              </w:rPr>
              <w:t>H: ≥50% dei proprietari partecipanti accetta un rinnovo al prezzo testato; misurare separatamente l’offerta inquilino.</w:t>
            </w:r>
          </w:p>
        </w:tc>
        <w:tc>
          <w:tcPr>
            <w:tcW w:type="dxa" w:w="3400"/>
          </w:tcPr>
          <w:p>
            <w:pPr>
              <w:spacing w:after="60"/>
            </w:pPr>
            <w:r>
              <w:rPr>
                <w:sz w:val="18"/>
              </w:rPr>
              <w:t>Campione piccolo e selezionato: segnale preliminare, non prova del mercato nazionale. Per quota annuale attendere rinnovo reale o distinguere la sola intenzione.</w:t>
            </w:r>
          </w:p>
        </w:tc>
      </w:tr>
      <w:tr>
        <w:trPr>
          <w:cantSplit/>
        </w:trPr>
        <w:tc>
          <w:tcPr>
            <w:tcW w:type="dxa" w:w="3400"/>
          </w:tcPr>
          <w:p>
            <w:pPr>
              <w:spacing w:after="60"/>
            </w:pPr>
            <w:r>
              <w:rPr>
                <w:sz w:val="18"/>
              </w:rPr>
              <w:t>Affidabilità</w:t>
            </w:r>
          </w:p>
        </w:tc>
        <w:tc>
          <w:tcPr>
            <w:tcW w:type="dxa" w:w="3400"/>
          </w:tcPr>
          <w:p>
            <w:pPr>
              <w:spacing w:after="60"/>
            </w:pPr>
            <w:r>
              <w:rPr>
                <w:sz w:val="18"/>
              </w:rPr>
              <w:t>Zero accessi non autorizzati o doppio addebito; ogni stato di incasso verificato ha una fonte.</w:t>
            </w:r>
          </w:p>
        </w:tc>
        <w:tc>
          <w:tcPr>
            <w:tcW w:type="dxa" w:w="3400"/>
          </w:tcPr>
          <w:p>
            <w:pPr>
              <w:spacing w:after="60"/>
            </w:pPr>
            <w:r>
              <w:rPr>
                <w:sz w:val="18"/>
              </w:rPr>
              <w:t>Una violazione critica ferma l’espansione e richiede rimedio.</w:t>
            </w:r>
          </w:p>
        </w:tc>
      </w:tr>
      <w:tr>
        <w:trPr>
          <w:cantSplit/>
        </w:trPr>
        <w:tc>
          <w:tcPr>
            <w:tcW w:type="dxa" w:w="3400"/>
          </w:tcPr>
          <w:p>
            <w:pPr>
              <w:spacing w:after="60"/>
            </w:pPr>
            <w:r>
              <w:rPr>
                <w:sz w:val="18"/>
              </w:rPr>
              <w:t>Utilità card/3D</w:t>
            </w:r>
          </w:p>
        </w:tc>
        <w:tc>
          <w:tcPr>
            <w:tcW w:type="dxa" w:w="3400"/>
          </w:tcPr>
          <w:p>
            <w:pPr>
              <w:spacing w:after="60"/>
            </w:pPr>
            <w:r>
              <w:rPr>
                <w:sz w:val="18"/>
              </w:rPr>
              <w:t>Uso concreto e motivazione del cliente, confrontando costo e risultato.</w:t>
            </w:r>
          </w:p>
        </w:tc>
        <w:tc>
          <w:tcPr>
            <w:tcW w:type="dxa" w:w="3400"/>
          </w:tcPr>
          <w:p>
            <w:pPr>
              <w:spacing w:after="60"/>
            </w:pPr>
            <w:r>
              <w:rPr>
                <w:sz w:val="18"/>
              </w:rPr>
              <w:t>Se non aiutano conversione, servizio o rinnovo, rivederne peso e modalità anziché mantenerli solo come ornamento.</w:t>
            </w:r>
          </w:p>
        </w:tc>
      </w:tr>
    </w:tbl>
    <w:p/>
    <w:p>
      <w:r>
        <w:t>Durata proposta del pilota operativo: 8–12 settimane dopo attivazione, per osservare almeno due cicli di canone. Un pilota breve non valida frequenza annua dei guasti, stagionalità, costi eccezionali o rinnovi annuali: proseguire con monitoraggio di coorte. Decisione finale: proseguire se valore pagante, capacità operativa e margine risultano insieme plausibili; correggere offerta se esiste uso ma manca disponibilità a pagare; fermare espansione se il servizio dipende da lavoro gratuito sistematico dei fondatori.</w:t>
      </w:r>
    </w:p>
    <w:p>
      <w:pPr>
        <w:pStyle w:val="Heading1"/>
      </w:pPr>
      <w:r>
        <w:t>13. Roadmap, dipendenze e ordine di grandezza</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tcPr>
          <w:p>
            <w:r>
              <w:t>Fase</w:t>
            </w:r>
          </w:p>
        </w:tc>
        <w:tc>
          <w:tcPr>
            <w:tcW w:type="dxa" w:w="3400"/>
          </w:tcPr>
          <w:p>
            <w:r>
              <w:t>Risultato e dipendenza</w:t>
            </w:r>
          </w:p>
        </w:tc>
        <w:tc>
          <w:tcPr>
            <w:tcW w:type="dxa" w:w="3400"/>
          </w:tcPr>
          <w:p>
            <w:r>
              <w:t>Tempo ipotetico / condizione di uscita</w:t>
            </w:r>
          </w:p>
        </w:tc>
      </w:tr>
      <w:tr>
        <w:trPr>
          <w:cantSplit/>
        </w:trPr>
        <w:tc>
          <w:tcPr>
            <w:tcW w:type="dxa" w:w="3400"/>
          </w:tcPr>
          <w:p>
            <w:pPr>
              <w:spacing w:after="60"/>
            </w:pPr>
            <w:r>
              <w:rPr>
                <w:sz w:val="18"/>
              </w:rPr>
              <w:t>0 — Decisioni e verifica</w:t>
            </w:r>
          </w:p>
        </w:tc>
        <w:tc>
          <w:tcPr>
            <w:tcW w:type="dxa" w:w="3400"/>
          </w:tcPr>
          <w:p>
            <w:pPr>
              <w:spacing w:after="60"/>
            </w:pPr>
            <w:r>
              <w:rPr>
                <w:sz w:val="18"/>
              </w:rPr>
              <w:t>Risposte prioritarie, scelta segmento, catalogo, unità di prezzo, responsabilità, mappa dati e prime verifiche professionali.</w:t>
            </w:r>
          </w:p>
        </w:tc>
        <w:tc>
          <w:tcPr>
            <w:tcW w:type="dxa" w:w="3400"/>
          </w:tcPr>
          <w:p>
            <w:pPr>
              <w:spacing w:after="60"/>
            </w:pPr>
            <w:r>
              <w:rPr>
                <w:sz w:val="18"/>
              </w:rPr>
              <w:t>2–3 settimane con fondatori disponibili. Uscita: proposta comprensibile e un responsabile di ogni prestazione.</w:t>
            </w:r>
          </w:p>
        </w:tc>
      </w:tr>
      <w:tr>
        <w:trPr>
          <w:cantSplit/>
        </w:trPr>
        <w:tc>
          <w:tcPr>
            <w:tcW w:type="dxa" w:w="3400"/>
          </w:tcPr>
          <w:p>
            <w:pPr>
              <w:spacing w:after="60"/>
            </w:pPr>
            <w:r>
              <w:rPr>
                <w:sz w:val="18"/>
              </w:rPr>
              <w:t>1 — Prova del servizio</w:t>
            </w:r>
          </w:p>
        </w:tc>
        <w:tc>
          <w:tcPr>
            <w:tcW w:type="dxa" w:w="3400"/>
          </w:tcPr>
          <w:p>
            <w:pPr>
              <w:spacing w:after="60"/>
            </w:pPr>
            <w:r>
              <w:rPr>
                <w:sz w:val="18"/>
              </w:rPr>
              <w:t>Interviste, misura lavoro attuale, offerta concreta e piccoli casi gestiti con strumenti esistenti protetti; schema delle schermate e test di comprensione.</w:t>
            </w:r>
          </w:p>
        </w:tc>
        <w:tc>
          <w:tcPr>
            <w:tcW w:type="dxa" w:w="3400"/>
          </w:tcPr>
          <w:p>
            <w:pPr>
              <w:spacing w:after="60"/>
            </w:pPr>
            <w:r>
              <w:rPr>
                <w:sz w:val="18"/>
              </w:rPr>
              <w:t>2–3 settimane, parzialmente sovrapponibili alla fase 0. Uscita: adesioni credibili e processo fattibile.</w:t>
            </w:r>
          </w:p>
        </w:tc>
      </w:tr>
      <w:tr>
        <w:trPr>
          <w:cantSplit/>
        </w:trPr>
        <w:tc>
          <w:tcPr>
            <w:tcW w:type="dxa" w:w="3400"/>
          </w:tcPr>
          <w:p>
            <w:pPr>
              <w:spacing w:after="60"/>
            </w:pPr>
            <w:r>
              <w:rPr>
                <w:sz w:val="18"/>
              </w:rPr>
              <w:t>2 — V1 software</w:t>
            </w:r>
          </w:p>
        </w:tc>
        <w:tc>
          <w:tcPr>
            <w:tcW w:type="dxa" w:w="3400"/>
          </w:tcPr>
          <w:p>
            <w:pPr>
              <w:spacing w:after="60"/>
            </w:pPr>
            <w:r>
              <w:rPr>
                <w:sz w:val="18"/>
              </w:rPr>
              <w:t>Sviluppo solo dopo approvazione del perimetro: identità/relazioni, fascicoli, scadenze/prove, richieste, consulenze, quota, card e pannello.</w:t>
            </w:r>
          </w:p>
        </w:tc>
        <w:tc>
          <w:tcPr>
            <w:tcW w:type="dxa" w:w="3400"/>
          </w:tcPr>
          <w:p>
            <w:pPr>
              <w:spacing w:after="60"/>
            </w:pPr>
            <w:r>
              <w:rPr>
                <w:sz w:val="18"/>
              </w:rPr>
              <w:t>8–12 settimane con il team ipotizzato sotto; dipende da qualità dati e fornitori. Uscita: criteri di accettazione soddisfatti.</w:t>
            </w:r>
          </w:p>
        </w:tc>
      </w:tr>
      <w:tr>
        <w:trPr>
          <w:cantSplit/>
        </w:trPr>
        <w:tc>
          <w:tcPr>
            <w:tcW w:type="dxa" w:w="3400"/>
          </w:tcPr>
          <w:p>
            <w:pPr>
              <w:spacing w:after="60"/>
            </w:pPr>
            <w:r>
              <w:rPr>
                <w:sz w:val="18"/>
              </w:rPr>
              <w:t>3 — Pilota operativo</w:t>
            </w:r>
          </w:p>
        </w:tc>
        <w:tc>
          <w:tcPr>
            <w:tcW w:type="dxa" w:w="3400"/>
          </w:tcPr>
          <w:p>
            <w:pPr>
              <w:spacing w:after="60"/>
            </w:pPr>
            <w:r>
              <w:rPr>
                <w:sz w:val="18"/>
              </w:rPr>
              <w:t>20–30 immobili, due cicli canoni, monitoraggio costi/valore, prove di eccezioni e sicurezza.</w:t>
            </w:r>
          </w:p>
        </w:tc>
        <w:tc>
          <w:tcPr>
            <w:tcW w:type="dxa" w:w="3400"/>
          </w:tcPr>
          <w:p>
            <w:pPr>
              <w:spacing w:after="60"/>
            </w:pPr>
            <w:r>
              <w:rPr>
                <w:sz w:val="18"/>
              </w:rPr>
              <w:t>8–12 settimane dopo attivazione. Uscita: decisione documentata secondo metriche.</w:t>
            </w:r>
          </w:p>
        </w:tc>
      </w:tr>
      <w:tr>
        <w:trPr>
          <w:cantSplit/>
        </w:trPr>
        <w:tc>
          <w:tcPr>
            <w:tcW w:type="dxa" w:w="3400"/>
          </w:tcPr>
          <w:p>
            <w:pPr>
              <w:spacing w:after="60"/>
            </w:pPr>
            <w:r>
              <w:rPr>
                <w:sz w:val="18"/>
              </w:rPr>
              <w:t>4 — Funzioni provate dal bisogno</w:t>
            </w:r>
          </w:p>
        </w:tc>
        <w:tc>
          <w:tcPr>
            <w:tcW w:type="dxa" w:w="3400"/>
          </w:tcPr>
          <w:p>
            <w:pPr>
              <w:spacing w:after="60"/>
            </w:pPr>
            <w:r>
              <w:rPr>
                <w:sz w:val="18"/>
              </w:rPr>
              <w:t>Pagamento canoni/bollette, AI vocale, 3D più integrato o app store in ordine determinato dalle evidenze.</w:t>
            </w:r>
          </w:p>
        </w:tc>
        <w:tc>
          <w:tcPr>
            <w:tcW w:type="dxa" w:w="3400"/>
          </w:tcPr>
          <w:p>
            <w:pPr>
              <w:spacing w:after="60"/>
            </w:pPr>
            <w:r>
              <w:rPr>
                <w:sz w:val="18"/>
              </w:rPr>
              <w:t>Preventivi separati e nessuna durata totale credibile senza partner e specifiche. Possibile anticipo in fase 2 se funzione indispensabile alla vendita.</w:t>
            </w:r>
          </w:p>
        </w:tc>
      </w:tr>
      <w:tr>
        <w:trPr>
          <w:cantSplit/>
        </w:trPr>
        <w:tc>
          <w:tcPr>
            <w:tcW w:type="dxa" w:w="3400"/>
          </w:tcPr>
          <w:p>
            <w:pPr>
              <w:spacing w:after="60"/>
            </w:pPr>
            <w:r>
              <w:rPr>
                <w:sz w:val="18"/>
              </w:rPr>
              <w:t>5 — Altre agenzie e canale fisico</w:t>
            </w:r>
          </w:p>
        </w:tc>
        <w:tc>
          <w:tcPr>
            <w:tcW w:type="dxa" w:w="3400"/>
          </w:tcPr>
          <w:p>
            <w:pPr>
              <w:spacing w:after="60"/>
            </w:pPr>
            <w:r>
              <w:rPr>
                <w:sz w:val="18"/>
              </w:rPr>
              <w:t>2–3 agenzie partner, isolamento verificato, formazione/supporto, contratti B2B. Totem in una sede prima di estensione.</w:t>
            </w:r>
          </w:p>
        </w:tc>
        <w:tc>
          <w:tcPr>
            <w:tcW w:type="dxa" w:w="3400"/>
          </w:tcPr>
          <w:p>
            <w:pPr>
              <w:spacing w:after="60"/>
            </w:pPr>
            <w:r>
              <w:rPr>
                <w:sz w:val="18"/>
              </w:rPr>
              <w:t>Dopo processo ripetibile e margine misurato; hardware e pagamenti dipendono da partner e domanda in sede.</w:t>
            </w:r>
          </w:p>
        </w:tc>
      </w:tr>
    </w:tbl>
    <w:p/>
    <w:p>
      <w:r>
        <w:t>H — Stima puramente progettuale della V1 descritta: due sviluppatori a tempo pieno per 8–12 settimane (80–120 giornate persona), designer/prodotto 15–25 giornate, QA/sicurezza 10–20 e coordinamento/analisi 10–15: circa 115–180 giornate complessive. Applicando soltanto come ipotesi contabile 350–600 € per giornata si ottengono circa 40–108 mila €, oppure 48–130 mila € con riserva del 20%. Questa tariffa è un parametro ipotetico, non una rilevazione di mercato o un preventivo.</w:t>
      </w:r>
    </w:p>
    <w:p>
      <w:r>
        <w:t>Perimetro escluso da quella stima: app native separate, editor 3D proprietario, telefonia AI evoluta, movimentazione di canoni/bollette, hardware totem, migrazioni massive, acquisizione clienti, costo operativo continuativo, consulenze legali specialistiche e IVA. Il pagamento della sola quota EECard con checkout ospitato è invece incluso come funzione ordinaria. Tempi e costi possono scendere usando prodotti esistenti oppure salire con integrazioni e dati disordinati; richiedere offerte comparabili solo dopo aver congelato criteri e dipendenze.</w:t>
      </w:r>
    </w:p>
    <w:p>
      <w:r>
        <w:t>Se il budget è molto inferiore, iniziare con un pilota di servizio usando strumenti esistenti, accessi individuali e procedure protette, senza costruire tutto il software. Il test deve comunque fornire il servizio promesso e misurare il lavoro; una presentazione della card da sola non valida la sostenibilità.</w:t>
      </w:r>
    </w:p>
    <w:p>
      <w:pPr>
        <w:pStyle w:val="Heading1"/>
      </w:pPr>
      <w:r>
        <w:t>14. Requisiti e criteri di accettazione della V1</w:t>
      </w:r>
    </w:p>
    <w:p>
      <w:r>
        <w:t>Questa è una lista proposta da trasformare in specifiche e collaudo con i fondatori. I criteri descrivono comportamenti osservabili; non autorizzano l’avvio dello sviluppo in questa fase.</w:t>
      </w:r>
    </w:p>
    <w:tbl>
      <w:tblPr>
        <w:tblStyle w:val="LightShading-Accent1"/>
        <w:tblW w:type="auto" w:w="0"/>
        <w:tblLook w:firstColumn="1" w:firstRow="1" w:lastColumn="0" w:lastRow="0" w:noHBand="0" w:noVBand="1" w:val="04A0"/>
      </w:tblPr>
      <w:tblGrid>
        <w:gridCol w:w="5100"/>
        <w:gridCol w:w="5100"/>
      </w:tblGrid>
      <w:tr>
        <w:trPr>
          <w:tblHeader/>
        </w:trPr>
        <w:tc>
          <w:tcPr>
            <w:tcW w:type="dxa" w:w="5100"/>
          </w:tcPr>
          <w:p>
            <w:r>
              <w:t>ID / requisito</w:t>
            </w:r>
          </w:p>
        </w:tc>
        <w:tc>
          <w:tcPr>
            <w:tcW w:type="dxa" w:w="5100"/>
          </w:tcPr>
          <w:p>
            <w:r>
              <w:t>Criterio di accettazione</w:t>
            </w:r>
          </w:p>
        </w:tc>
      </w:tr>
      <w:tr>
        <w:trPr>
          <w:cantSplit/>
        </w:trPr>
        <w:tc>
          <w:tcPr>
            <w:tcW w:type="dxa" w:w="5100"/>
          </w:tcPr>
          <w:p>
            <w:pPr>
              <w:spacing w:after="60"/>
            </w:pPr>
            <w:r>
              <w:rPr>
                <w:sz w:val="18"/>
              </w:rPr>
              <w:t>R01 — Attivazione verificata</w:t>
            </w:r>
          </w:p>
        </w:tc>
        <w:tc>
          <w:tcPr>
            <w:tcW w:type="dxa" w:w="5100"/>
          </w:tcPr>
          <w:p>
            <w:pPr>
              <w:spacing w:after="60"/>
            </w:pPr>
            <w:r>
              <w:rPr>
                <w:sz w:val="18"/>
              </w:rPr>
              <w:t>Un invito valido abilita solo persona e rapporto approvati; un rapporto non verificato non espone documenti. La quota fallita limita i benefici a pagamento secondo contratto, senza confondersi con i diritti a documenti dovuti.</w:t>
            </w:r>
          </w:p>
        </w:tc>
      </w:tr>
      <w:tr>
        <w:trPr>
          <w:cantSplit/>
        </w:trPr>
        <w:tc>
          <w:tcPr>
            <w:tcW w:type="dxa" w:w="5100"/>
          </w:tcPr>
          <w:p>
            <w:pPr>
              <w:spacing w:after="60"/>
            </w:pPr>
            <w:r>
              <w:rPr>
                <w:sz w:val="18"/>
              </w:rPr>
              <w:t>R02 — Più ruoli e parti</w:t>
            </w:r>
          </w:p>
        </w:tc>
        <w:tc>
          <w:tcPr>
            <w:tcW w:type="dxa" w:w="5100"/>
          </w:tcPr>
          <w:p>
            <w:pPr>
              <w:spacing w:after="60"/>
            </w:pPr>
            <w:r>
              <w:rPr>
                <w:sz w:val="18"/>
              </w:rPr>
              <w:t>Collaudare un utente con tre immobili da locatore e uno da inquilino, una comproprietà e due conduttori. Il cambio di contesto non cambia impropriamente i permessi.</w:t>
            </w:r>
          </w:p>
        </w:tc>
      </w:tr>
      <w:tr>
        <w:trPr>
          <w:cantSplit/>
        </w:trPr>
        <w:tc>
          <w:tcPr>
            <w:tcW w:type="dxa" w:w="5100"/>
          </w:tcPr>
          <w:p>
            <w:pPr>
              <w:spacing w:after="60"/>
            </w:pPr>
            <w:r>
              <w:rPr>
                <w:sz w:val="18"/>
              </w:rPr>
              <w:t>R03 — Isolamento e revoca</w:t>
            </w:r>
          </w:p>
        </w:tc>
        <w:tc>
          <w:tcPr>
            <w:tcW w:type="dxa" w:w="5100"/>
          </w:tcPr>
          <w:p>
            <w:pPr>
              <w:spacing w:after="60"/>
            </w:pPr>
            <w:r>
              <w:rPr>
                <w:sz w:val="18"/>
              </w:rPr>
              <w:t>Utente di altra casa, tecnico non assegnato ed ex inquilino non accedono a oggetti riservati neppure mediante URL diretto o file condiviso revocato. Regole server testate.</w:t>
            </w:r>
          </w:p>
        </w:tc>
      </w:tr>
      <w:tr>
        <w:trPr>
          <w:cantSplit/>
        </w:trPr>
        <w:tc>
          <w:tcPr>
            <w:tcW w:type="dxa" w:w="5100"/>
          </w:tcPr>
          <w:p>
            <w:pPr>
              <w:spacing w:after="60"/>
            </w:pPr>
            <w:r>
              <w:rPr>
                <w:sz w:val="18"/>
              </w:rPr>
              <w:t>R04 — Fascicolo versionato</w:t>
            </w:r>
          </w:p>
        </w:tc>
        <w:tc>
          <w:tcPr>
            <w:tcW w:type="dxa" w:w="5100"/>
          </w:tcPr>
          <w:p>
            <w:pPr>
              <w:spacing w:after="60"/>
            </w:pPr>
            <w:r>
              <w:rPr>
                <w:sz w:val="18"/>
              </w:rPr>
              <w:t>Caricamento errato/infetto rifiutato o messo in quarantena; file associato all’oggetto corretto; nuova versione non distrugge la precedente; destinatari e scadenze sono visibili all’operatore.</w:t>
            </w:r>
          </w:p>
        </w:tc>
      </w:tr>
      <w:tr>
        <w:trPr>
          <w:cantSplit/>
        </w:trPr>
        <w:tc>
          <w:tcPr>
            <w:tcW w:type="dxa" w:w="5100"/>
          </w:tcPr>
          <w:p>
            <w:pPr>
              <w:spacing w:after="60"/>
            </w:pPr>
            <w:r>
              <w:rPr>
                <w:sz w:val="18"/>
              </w:rPr>
              <w:t>R05 — Scadenze</w:t>
            </w:r>
          </w:p>
        </w:tc>
        <w:tc>
          <w:tcPr>
            <w:tcW w:type="dxa" w:w="5100"/>
          </w:tcPr>
          <w:p>
            <w:pPr>
              <w:spacing w:after="60"/>
            </w:pPr>
            <w:r>
              <w:rPr>
                <w:sz w:val="18"/>
              </w:rPr>
              <w:t>Il calendario corrisponde a un contratto verificato; modifica e cessazione rigenerano solo il futuro pertinente. Un promemoria fallito compare in coda operativa senza duplicazioni.</w:t>
            </w:r>
          </w:p>
        </w:tc>
      </w:tr>
      <w:tr>
        <w:trPr>
          <w:cantSplit/>
        </w:trPr>
        <w:tc>
          <w:tcPr>
            <w:tcW w:type="dxa" w:w="5100"/>
          </w:tcPr>
          <w:p>
            <w:pPr>
              <w:spacing w:after="60"/>
            </w:pPr>
            <w:r>
              <w:rPr>
                <w:sz w:val="18"/>
              </w:rPr>
              <w:t>R06 — Dichiarazioni e incassi</w:t>
            </w:r>
          </w:p>
        </w:tc>
        <w:tc>
          <w:tcPr>
            <w:tcW w:type="dxa" w:w="5100"/>
          </w:tcPr>
          <w:p>
            <w:pPr>
              <w:spacing w:after="60"/>
            </w:pPr>
            <w:r>
              <w:rPr>
                <w:sz w:val="18"/>
              </w:rPr>
              <w:t>Caricare una contabile lascia stato “dichiarato/da verificare”. “Incasso verificato” richiede fonte, importo e autore; gestione di parziali, eccedenze e più rate con saldo corretto.</w:t>
            </w:r>
          </w:p>
        </w:tc>
      </w:tr>
      <w:tr>
        <w:trPr>
          <w:cantSplit/>
        </w:trPr>
        <w:tc>
          <w:tcPr>
            <w:tcW w:type="dxa" w:w="5100"/>
          </w:tcPr>
          <w:p>
            <w:pPr>
              <w:spacing w:after="60"/>
            </w:pPr>
            <w:r>
              <w:rPr>
                <w:sz w:val="18"/>
              </w:rPr>
              <w:t>R07 — Ricevute</w:t>
            </w:r>
          </w:p>
        </w:tc>
        <w:tc>
          <w:tcPr>
            <w:tcW w:type="dxa" w:w="5100"/>
          </w:tcPr>
          <w:p>
            <w:pPr>
              <w:spacing w:after="60"/>
            </w:pPr>
            <w:r>
              <w:rPr>
                <w:sz w:val="18"/>
              </w:rPr>
              <w:t>La quietanza pubblicata è attribuita al soggetto legittimato, collegata al pagamento e alle verifiche. Un documento di caricamento o esito PSP è etichettato diversamente.</w:t>
            </w:r>
          </w:p>
        </w:tc>
      </w:tr>
      <w:tr>
        <w:trPr>
          <w:cantSplit/>
        </w:trPr>
        <w:tc>
          <w:tcPr>
            <w:tcW w:type="dxa" w:w="5100"/>
          </w:tcPr>
          <w:p>
            <w:pPr>
              <w:spacing w:after="60"/>
            </w:pPr>
            <w:r>
              <w:rPr>
                <w:sz w:val="18"/>
              </w:rPr>
              <w:t>R08 — Utenze</w:t>
            </w:r>
          </w:p>
        </w:tc>
        <w:tc>
          <w:tcPr>
            <w:tcW w:type="dxa" w:w="5100"/>
          </w:tcPr>
          <w:p>
            <w:pPr>
              <w:spacing w:after="60"/>
            </w:pPr>
            <w:r>
              <w:rPr>
                <w:sz w:val="18"/>
              </w:rPr>
              <w:t>Bolletta associata a intestatario e periodo corretti; duplicati segnalati, domiciliazione visibile, nuovo inquilino privo di accesso alle spese private del precedente.</w:t>
            </w:r>
          </w:p>
        </w:tc>
      </w:tr>
      <w:tr>
        <w:trPr>
          <w:cantSplit/>
        </w:trPr>
        <w:tc>
          <w:tcPr>
            <w:tcW w:type="dxa" w:w="5100"/>
          </w:tcPr>
          <w:p>
            <w:pPr>
              <w:spacing w:after="60"/>
            </w:pPr>
            <w:r>
              <w:rPr>
                <w:sz w:val="18"/>
              </w:rPr>
              <w:t>R09 — Assistenza</w:t>
            </w:r>
          </w:p>
        </w:tc>
        <w:tc>
          <w:tcPr>
            <w:tcW w:type="dxa" w:w="5100"/>
          </w:tcPr>
          <w:p>
            <w:pPr>
              <w:spacing w:after="60"/>
            </w:pPr>
            <w:r>
              <w:rPr>
                <w:sz w:val="18"/>
              </w:rPr>
              <w:t>Ogni richiesta salvata ha numero, assegnatario, stato e prossima azione. Rifiuto/mancata risposta del tecnico attiva la procedura prevista; spesa maggiore richiede nuova approvazione.</w:t>
            </w:r>
          </w:p>
        </w:tc>
      </w:tr>
      <w:tr>
        <w:trPr>
          <w:cantSplit/>
        </w:trPr>
        <w:tc>
          <w:tcPr>
            <w:tcW w:type="dxa" w:w="5100"/>
          </w:tcPr>
          <w:p>
            <w:pPr>
              <w:spacing w:after="60"/>
            </w:pPr>
            <w:r>
              <w:rPr>
                <w:sz w:val="18"/>
              </w:rPr>
              <w:t>R10 — Consulenza</w:t>
            </w:r>
          </w:p>
        </w:tc>
        <w:tc>
          <w:tcPr>
            <w:tcW w:type="dxa" w:w="5100"/>
          </w:tcPr>
          <w:p>
            <w:pPr>
              <w:spacing w:after="60"/>
            </w:pPr>
            <w:r>
              <w:rPr>
                <w:sz w:val="18"/>
              </w:rPr>
              <w:t>Prenotazione senza sovrapposizioni; annullamento e beneficio annuale gestiti; riepilogo e prossima azione disponibili ai destinatari autorizzati.</w:t>
            </w:r>
          </w:p>
        </w:tc>
      </w:tr>
      <w:tr>
        <w:trPr>
          <w:cantSplit/>
        </w:trPr>
        <w:tc>
          <w:tcPr>
            <w:tcW w:type="dxa" w:w="5100"/>
          </w:tcPr>
          <w:p>
            <w:pPr>
              <w:spacing w:after="60"/>
            </w:pPr>
            <w:r>
              <w:rPr>
                <w:sz w:val="18"/>
              </w:rPr>
              <w:t>R11 — Card</w:t>
            </w:r>
          </w:p>
        </w:tc>
        <w:tc>
          <w:tcPr>
            <w:tcW w:type="dxa" w:w="5100"/>
          </w:tcPr>
          <w:p>
            <w:pPr>
              <w:spacing w:after="60"/>
            </w:pPr>
            <w:r>
              <w:rPr>
                <w:sz w:val="18"/>
              </w:rPr>
              <w:t>Richiesta, consegna, attivazione, blocco e sostituzione tracciati; vecchia credenziale revocata subito sul server; un QR copiato non basta a leggere documenti o pagare.</w:t>
            </w:r>
          </w:p>
        </w:tc>
      </w:tr>
      <w:tr>
        <w:trPr>
          <w:cantSplit/>
        </w:trPr>
        <w:tc>
          <w:tcPr>
            <w:tcW w:type="dxa" w:w="5100"/>
          </w:tcPr>
          <w:p>
            <w:pPr>
              <w:spacing w:after="60"/>
            </w:pPr>
            <w:r>
              <w:rPr>
                <w:sz w:val="18"/>
              </w:rPr>
              <w:t>R12 — Quota e abbonamento</w:t>
            </w:r>
          </w:p>
        </w:tc>
        <w:tc>
          <w:tcPr>
            <w:tcW w:type="dxa" w:w="5100"/>
          </w:tcPr>
          <w:p>
            <w:pPr>
              <w:spacing w:after="60"/>
            </w:pPr>
            <w:r>
              <w:rPr>
                <w:sz w:val="18"/>
              </w:rPr>
              <w:t>Due clic o notifiche duplicate producono un solo addebito logico. Gestire rinnovo fallito, recesso, rimborso e data fine; quota e canone locativo restano distinti.</w:t>
            </w:r>
          </w:p>
        </w:tc>
      </w:tr>
      <w:tr>
        <w:trPr>
          <w:cantSplit/>
        </w:trPr>
        <w:tc>
          <w:tcPr>
            <w:tcW w:type="dxa" w:w="5100"/>
          </w:tcPr>
          <w:p>
            <w:pPr>
              <w:spacing w:after="60"/>
            </w:pPr>
            <w:r>
              <w:rPr>
                <w:sz w:val="18"/>
              </w:rPr>
              <w:t>R13 — Fine rapporto</w:t>
            </w:r>
          </w:p>
        </w:tc>
        <w:tc>
          <w:tcPr>
            <w:tcW w:type="dxa" w:w="5100"/>
          </w:tcPr>
          <w:p>
            <w:pPr>
              <w:spacing w:after="60"/>
            </w:pPr>
            <w:r>
              <w:rPr>
                <w:sz w:val="18"/>
              </w:rPr>
              <w:t>Subentro/fine contratto revocano accessi corretti senza cancellare indiscriminatamente le prove. Disdetta EECard non risolve la locazione. Esportazione leggibile dei dati pertinenti.</w:t>
            </w:r>
          </w:p>
        </w:tc>
      </w:tr>
      <w:tr>
        <w:trPr>
          <w:cantSplit/>
        </w:trPr>
        <w:tc>
          <w:tcPr>
            <w:tcW w:type="dxa" w:w="5100"/>
          </w:tcPr>
          <w:p>
            <w:pPr>
              <w:spacing w:after="60"/>
            </w:pPr>
            <w:r>
              <w:rPr>
                <w:sz w:val="18"/>
              </w:rPr>
              <w:t>R14 — Operatività</w:t>
            </w:r>
          </w:p>
        </w:tc>
        <w:tc>
          <w:tcPr>
            <w:tcW w:type="dxa" w:w="5100"/>
          </w:tcPr>
          <w:p>
            <w:pPr>
              <w:spacing w:after="60"/>
            </w:pPr>
            <w:r>
              <w:rPr>
                <w:sz w:val="18"/>
              </w:rPr>
              <w:t>Da pannello si individuano pratiche senza assegnatario, documenti mancanti, notifiche fallite e prove non verificate. Ogni azione sensibile è attribuita a un operatore.</w:t>
            </w:r>
          </w:p>
        </w:tc>
      </w:tr>
      <w:tr>
        <w:trPr>
          <w:cantSplit/>
        </w:trPr>
        <w:tc>
          <w:tcPr>
            <w:tcW w:type="dxa" w:w="5100"/>
          </w:tcPr>
          <w:p>
            <w:pPr>
              <w:spacing w:after="60"/>
            </w:pPr>
            <w:r>
              <w:rPr>
                <w:sz w:val="18"/>
              </w:rPr>
              <w:t>R15 — Sicurezza e continuità</w:t>
            </w:r>
          </w:p>
        </w:tc>
        <w:tc>
          <w:tcPr>
            <w:tcW w:type="dxa" w:w="5100"/>
          </w:tcPr>
          <w:p>
            <w:pPr>
              <w:spacing w:after="60"/>
            </w:pPr>
            <w:r>
              <w:rPr>
                <w:sz w:val="18"/>
              </w:rPr>
              <w:t>MFA operatori, verifica permessi/file, gestione segreti e backup collaudati. Prova di ripristino e procedura incidenti completate; nessuna vulnerabilità critica aperta al lancio.</w:t>
            </w:r>
          </w:p>
        </w:tc>
      </w:tr>
      <w:tr>
        <w:trPr>
          <w:cantSplit/>
        </w:trPr>
        <w:tc>
          <w:tcPr>
            <w:tcW w:type="dxa" w:w="5100"/>
          </w:tcPr>
          <w:p>
            <w:pPr>
              <w:spacing w:after="60"/>
            </w:pPr>
            <w:r>
              <w:rPr>
                <w:sz w:val="18"/>
              </w:rPr>
              <w:t>R16 — Usabilità e accessibilità</w:t>
            </w:r>
          </w:p>
        </w:tc>
        <w:tc>
          <w:tcPr>
            <w:tcW w:type="dxa" w:w="5100"/>
          </w:tcPr>
          <w:p>
            <w:pPr>
              <w:spacing w:after="60"/>
            </w:pPr>
            <w:r>
              <w:rPr>
                <w:sz w:val="18"/>
              </w:rPr>
              <w:t>Almeno 8 utenti rappresentativi eseguono recupero documento, dichiarazione pagamento e richiesta assistenza; obiettivo ≥80% completamento senza aiuto. Percorsi chiave collaudati da mobile e tastiera.</w:t>
            </w:r>
          </w:p>
        </w:tc>
      </w:tr>
      <w:tr>
        <w:trPr>
          <w:cantSplit/>
        </w:trPr>
        <w:tc>
          <w:tcPr>
            <w:tcW w:type="dxa" w:w="5100"/>
          </w:tcPr>
          <w:p>
            <w:pPr>
              <w:spacing w:after="60"/>
            </w:pPr>
            <w:r>
              <w:rPr>
                <w:sz w:val="18"/>
              </w:rPr>
              <w:t>R17 — Prestazioni e affidabilità</w:t>
            </w:r>
          </w:p>
        </w:tc>
        <w:tc>
          <w:tcPr>
            <w:tcW w:type="dxa" w:w="5100"/>
          </w:tcPr>
          <w:p>
            <w:pPr>
              <w:spacing w:after="60"/>
            </w:pPr>
            <w:r>
              <w:rPr>
                <w:sz w:val="18"/>
              </w:rPr>
              <w:t>Obiettivo iniziale: 95% delle visualizzazioni ordinarie entro 3 secondi sul carico pilota concordato, esclusi caricamenti grandi e servizi esterni. Errori comprensibili e niente perdita silenziosa delle richieste.</w:t>
            </w:r>
          </w:p>
        </w:tc>
      </w:tr>
      <w:tr>
        <w:trPr>
          <w:cantSplit/>
        </w:trPr>
        <w:tc>
          <w:tcPr>
            <w:tcW w:type="dxa" w:w="5100"/>
          </w:tcPr>
          <w:p>
            <w:pPr>
              <w:spacing w:after="60"/>
            </w:pPr>
            <w:r>
              <w:rPr>
                <w:sz w:val="18"/>
              </w:rPr>
              <w:t>R18 — Catalogo e supporto</w:t>
            </w:r>
          </w:p>
        </w:tc>
        <w:tc>
          <w:tcPr>
            <w:tcW w:type="dxa" w:w="5100"/>
          </w:tcPr>
          <w:p>
            <w:pPr>
              <w:spacing w:after="60"/>
            </w:pPr>
            <w:r>
              <w:rPr>
                <w:sz w:val="18"/>
              </w:rPr>
              <w:t>Prima di vendere esistono orari, zone, prezzi, inclusioni, responsabilità, sostituti e gestione reclami; i testi dell’app corrispondono alla capacità reale dell’agenzia.</w:t>
            </w:r>
          </w:p>
        </w:tc>
      </w:tr>
      <w:tr>
        <w:trPr>
          <w:cantSplit/>
        </w:trPr>
        <w:tc>
          <w:tcPr>
            <w:tcW w:type="dxa" w:w="5100"/>
          </w:tcPr>
          <w:p>
            <w:pPr>
              <w:spacing w:after="60"/>
            </w:pPr>
            <w:r>
              <w:rPr>
                <w:sz w:val="18"/>
              </w:rPr>
              <w:t>C01 — Pagamenti integrati, se inclusi</w:t>
            </w:r>
          </w:p>
        </w:tc>
        <w:tc>
          <w:tcPr>
            <w:tcW w:type="dxa" w:w="5100"/>
          </w:tcPr>
          <w:p>
            <w:pPr>
              <w:spacing w:after="60"/>
            </w:pPr>
            <w:r>
              <w:rPr>
                <w:sz w:val="18"/>
              </w:rPr>
              <w:t>Accordo PSP e beneficiari verificati; esiti asincroni/duplicati, timeout, storni, parziali, riconciliazione e commissioni collaudati in test prima di denaro reale.</w:t>
            </w:r>
          </w:p>
        </w:tc>
      </w:tr>
      <w:tr>
        <w:trPr>
          <w:cantSplit/>
        </w:trPr>
        <w:tc>
          <w:tcPr>
            <w:tcW w:type="dxa" w:w="5100"/>
          </w:tcPr>
          <w:p>
            <w:pPr>
              <w:spacing w:after="60"/>
            </w:pPr>
            <w:r>
              <w:rPr>
                <w:sz w:val="18"/>
              </w:rPr>
              <w:t>C02 — AI vocale, se inclusa</w:t>
            </w:r>
          </w:p>
        </w:tc>
        <w:tc>
          <w:tcPr>
            <w:tcW w:type="dxa" w:w="5100"/>
          </w:tcPr>
          <w:p>
            <w:pPr>
              <w:spacing w:after="60"/>
            </w:pPr>
            <w:r>
              <w:rPr>
                <w:sz w:val="18"/>
              </w:rPr>
              <w:t>Identificazione dell’assistente, raccolta limitata, riepilogo verificabile, passaggio umano e casi di incomprensione testati. Nessuna istruzione rischiosa o intervento promesso senza conferma.</w:t>
            </w:r>
          </w:p>
        </w:tc>
      </w:tr>
      <w:tr>
        <w:trPr>
          <w:cantSplit/>
        </w:trPr>
        <w:tc>
          <w:tcPr>
            <w:tcW w:type="dxa" w:w="5100"/>
          </w:tcPr>
          <w:p>
            <w:pPr>
              <w:spacing w:after="60"/>
            </w:pPr>
            <w:r>
              <w:rPr>
                <w:sz w:val="18"/>
              </w:rPr>
              <w:t>C03 — 3D, se incluso</w:t>
            </w:r>
          </w:p>
        </w:tc>
        <w:tc>
          <w:tcPr>
            <w:tcW w:type="dxa" w:w="5100"/>
          </w:tcPr>
          <w:p>
            <w:pPr>
              <w:spacing w:after="60"/>
            </w:pPr>
            <w:r>
              <w:rPr>
                <w:sz w:val="18"/>
              </w:rPr>
              <w:t>Modello associato alla versione di pianta e approvato secondo scopo; costo/tempi di produzione noti; modifiche illustrate come ipotesi, non autorizzazioni edilizie o garanzia di fattibilità.</w:t>
            </w:r>
          </w:p>
        </w:tc>
      </w:tr>
    </w:tbl>
    <w:p/>
    <w:p>
      <w:pPr>
        <w:pStyle w:val="Heading1"/>
      </w:pPr>
      <w:r>
        <w:t>15. Criticità, decisioni e prossime attività</w:t>
      </w:r>
    </w:p>
    <w:tbl>
      <w:tblPr>
        <w:tblStyle w:val="LightShading-Accent1"/>
        <w:tblW w:type="auto" w:w="0"/>
        <w:tblLook w:firstColumn="1" w:firstRow="1" w:lastColumn="0" w:lastRow="0" w:noHBand="0" w:noVBand="1" w:val="04A0"/>
      </w:tblPr>
      <w:tblGrid>
        <w:gridCol w:w="5100"/>
        <w:gridCol w:w="5100"/>
      </w:tblGrid>
      <w:tr>
        <w:trPr>
          <w:tblHeader/>
        </w:trPr>
        <w:tc>
          <w:tcPr>
            <w:tcW w:type="dxa" w:w="5100"/>
          </w:tcPr>
          <w:p>
            <w:r>
              <w:t>Criticità principale</w:t>
            </w:r>
          </w:p>
        </w:tc>
        <w:tc>
          <w:tcPr>
            <w:tcW w:type="dxa" w:w="5100"/>
          </w:tcPr>
          <w:p>
            <w:r>
              <w:t>Decisione necessaria prima dello sviluppo</w:t>
            </w:r>
          </w:p>
        </w:tc>
      </w:tr>
      <w:tr>
        <w:trPr>
          <w:cantSplit/>
        </w:trPr>
        <w:tc>
          <w:tcPr>
            <w:tcW w:type="dxa" w:w="5100"/>
          </w:tcPr>
          <w:p>
            <w:pPr>
              <w:spacing w:after="60"/>
            </w:pPr>
            <w:r>
              <w:rPr>
                <w:sz w:val="18"/>
              </w:rPr>
              <w:t>Proposta ampia e destinatari diversi</w:t>
            </w:r>
          </w:p>
        </w:tc>
        <w:tc>
          <w:tcPr>
            <w:tcW w:type="dxa" w:w="5100"/>
          </w:tcPr>
          <w:p>
            <w:pPr>
              <w:spacing w:after="60"/>
            </w:pPr>
            <w:r>
              <w:rPr>
                <w:sz w:val="18"/>
              </w:rPr>
              <w:t>Scegliere il beneficio per cui il primo cliente paga e il segmento iniziale. Scegliere servizio locale, SaaS o sequenza mista.</w:t>
            </w:r>
          </w:p>
        </w:tc>
      </w:tr>
      <w:tr>
        <w:trPr>
          <w:cantSplit/>
        </w:trPr>
        <w:tc>
          <w:tcPr>
            <w:tcW w:type="dxa" w:w="5100"/>
          </w:tcPr>
          <w:p>
            <w:pPr>
              <w:spacing w:after="60"/>
            </w:pPr>
            <w:r>
              <w:rPr>
                <w:sz w:val="18"/>
              </w:rPr>
              <w:t>Prezzo non definito</w:t>
            </w:r>
          </w:p>
        </w:tc>
        <w:tc>
          <w:tcPr>
            <w:tcW w:type="dxa" w:w="5100"/>
          </w:tcPr>
          <w:p>
            <w:pPr>
              <w:spacing w:after="60"/>
            </w:pPr>
            <w:r>
              <w:rPr>
                <w:sz w:val="18"/>
              </w:rPr>
              <w:t>Confermare quota, periodicità, IVA, unità e servizi; risolvere il possibile 15/20 dell’audio. Definire accessi multipli e immobili aggiuntivi.</w:t>
            </w:r>
          </w:p>
        </w:tc>
      </w:tr>
      <w:tr>
        <w:trPr>
          <w:cantSplit/>
        </w:trPr>
        <w:tc>
          <w:tcPr>
            <w:tcW w:type="dxa" w:w="5100"/>
          </w:tcPr>
          <w:p>
            <w:pPr>
              <w:spacing w:after="60"/>
            </w:pPr>
            <w:r>
              <w:rPr>
                <w:sz w:val="18"/>
              </w:rPr>
              <w:t>Assistenza potenzialmente illimitata</w:t>
            </w:r>
          </w:p>
        </w:tc>
        <w:tc>
          <w:tcPr>
            <w:tcW w:type="dxa" w:w="5100"/>
          </w:tcPr>
          <w:p>
            <w:pPr>
              <w:spacing w:after="60"/>
            </w:pPr>
            <w:r>
              <w:rPr>
                <w:sz w:val="18"/>
              </w:rPr>
              <w:t>Nominare responsabili, orari, sostituti, confini e rete tecnica. Separare ricezione della richiesta da intervento garantito.</w:t>
            </w:r>
          </w:p>
        </w:tc>
      </w:tr>
      <w:tr>
        <w:trPr>
          <w:cantSplit/>
        </w:trPr>
        <w:tc>
          <w:tcPr>
            <w:tcW w:type="dxa" w:w="5100"/>
          </w:tcPr>
          <w:p>
            <w:pPr>
              <w:spacing w:after="60"/>
            </w:pPr>
            <w:r>
              <w:rPr>
                <w:sz w:val="18"/>
              </w:rPr>
              <w:t>Confusione su denaro e prova</w:t>
            </w:r>
          </w:p>
        </w:tc>
        <w:tc>
          <w:tcPr>
            <w:tcW w:type="dxa" w:w="5100"/>
          </w:tcPr>
          <w:p>
            <w:pPr>
              <w:spacing w:after="60"/>
            </w:pPr>
            <w:r>
              <w:rPr>
                <w:sz w:val="18"/>
              </w:rPr>
              <w:t>Decidere pagamenti esterni o partner; distinguere dichiarazione, accredito e quietanza. Nessuna promessa di garanzia affitti implicita.</w:t>
            </w:r>
          </w:p>
        </w:tc>
      </w:tr>
      <w:tr>
        <w:trPr>
          <w:cantSplit/>
        </w:trPr>
        <w:tc>
          <w:tcPr>
            <w:tcW w:type="dxa" w:w="5100"/>
          </w:tcPr>
          <w:p>
            <w:pPr>
              <w:spacing w:after="60"/>
            </w:pPr>
            <w:r>
              <w:rPr>
                <w:sz w:val="18"/>
              </w:rPr>
              <w:t>Doppio pagamento proprietario/inquilino</w:t>
            </w:r>
          </w:p>
        </w:tc>
        <w:tc>
          <w:tcPr>
            <w:tcW w:type="dxa" w:w="5100"/>
          </w:tcPr>
          <w:p>
            <w:pPr>
              <w:spacing w:after="60"/>
            </w:pPr>
            <w:r>
              <w:rPr>
                <w:sz w:val="18"/>
              </w:rPr>
              <w:t>Verificare beneficio autonomo e volontarietà dell’offerta inquilino; scegliere se gli accessi collaborativi base siano compresi nella quota proprietario.</w:t>
            </w:r>
          </w:p>
        </w:tc>
      </w:tr>
      <w:tr>
        <w:trPr>
          <w:cantSplit/>
        </w:trPr>
        <w:tc>
          <w:tcPr>
            <w:tcW w:type="dxa" w:w="5100"/>
          </w:tcPr>
          <w:p>
            <w:pPr>
              <w:spacing w:after="60"/>
            </w:pPr>
            <w:r>
              <w:rPr>
                <w:sz w:val="18"/>
              </w:rPr>
              <w:t>Dati e conflitti tra parti</w:t>
            </w:r>
          </w:p>
        </w:tc>
        <w:tc>
          <w:tcPr>
            <w:tcW w:type="dxa" w:w="5100"/>
          </w:tcPr>
          <w:p>
            <w:pPr>
              <w:spacing w:after="60"/>
            </w:pPr>
            <w:r>
              <w:rPr>
                <w:sz w:val="18"/>
              </w:rPr>
              <w:t>Definire titolari/responsabili, mandati, permessi, fine rapporto e documenti dovuti. Gestire contestazioni senza favorire automaticamente la parte pagante.</w:t>
            </w:r>
          </w:p>
        </w:tc>
      </w:tr>
      <w:tr>
        <w:trPr>
          <w:cantSplit/>
        </w:trPr>
        <w:tc>
          <w:tcPr>
            <w:tcW w:type="dxa" w:w="5100"/>
          </w:tcPr>
          <w:p>
            <w:pPr>
              <w:spacing w:after="60"/>
            </w:pPr>
            <w:r>
              <w:rPr>
                <w:sz w:val="18"/>
              </w:rPr>
              <w:t>3D/card/AI non ancora validati</w:t>
            </w:r>
          </w:p>
        </w:tc>
        <w:tc>
          <w:tcPr>
            <w:tcW w:type="dxa" w:w="5100"/>
          </w:tcPr>
          <w:p>
            <w:pPr>
              <w:spacing w:after="60"/>
            </w:pPr>
            <w:r>
              <w:rPr>
                <w:sz w:val="18"/>
              </w:rPr>
              <w:t>Per ogni funzione scegliere risultato, metrica e modalità minima erogabile. Semplificare solo se la promessa resta mantenuta.</w:t>
            </w:r>
          </w:p>
        </w:tc>
      </w:tr>
      <w:tr>
        <w:trPr>
          <w:cantSplit/>
        </w:trPr>
        <w:tc>
          <w:tcPr>
            <w:tcW w:type="dxa" w:w="5100"/>
          </w:tcPr>
          <w:p>
            <w:pPr>
              <w:spacing w:after="60"/>
            </w:pPr>
            <w:r>
              <w:rPr>
                <w:sz w:val="18"/>
              </w:rPr>
              <w:t>Budget e competenze sconosciuti</w:t>
            </w:r>
          </w:p>
        </w:tc>
        <w:tc>
          <w:tcPr>
            <w:tcW w:type="dxa" w:w="5100"/>
          </w:tcPr>
          <w:p>
            <w:pPr>
              <w:spacing w:after="60"/>
            </w:pPr>
            <w:r>
              <w:rPr>
                <w:sz w:val="18"/>
              </w:rPr>
              <w:t>Confermare investimento, team, disponibilità dell’agenzia e limite al costo operativo. Se insufficiente, validare con strumenti esistenti prima di commissionare sviluppo.</w:t>
            </w:r>
          </w:p>
        </w:tc>
      </w:tr>
    </w:tbl>
    <w:p/>
    <w:p>
      <w:r>
        <w:t>P — Attività successive in ordine: 1) rispondere alle cinque domande prioritarie; 2) verificare dieci fascicoli reali e misurare una settimana di lavoro; 3) scrivere catalogo e schema di offerta con inclusioni/prezzi; 4) incontrare tecnici e validare capacità/sostituti; 5) definire flussi di pagamento e incaricare verifiche mirate con legale, commercialista e PSP; 6) testare percorsi e comprensione con clienti; 7) aggiornare economia unitaria e scegliere le funzioni condizionate; 8) congelare requisiti/criteri di accettazione e richiedere preventivi; 9) procedere al pilota e decidere l’espansione sui dati.</w:t>
      </w:r>
    </w:p>
    <w:p>
      <w:pPr>
        <w:pStyle w:val="Heading2"/>
      </w:pPr>
      <w:r>
        <w:t>Registro delle decisioni — stato alla consegna</w:t>
      </w:r>
    </w:p>
    <w:tbl>
      <w:tblPr>
        <w:tblStyle w:val="LightShading-Accent1"/>
        <w:tblW w:type="auto" w:w="0"/>
        <w:tblLook w:firstColumn="1" w:firstRow="1" w:lastColumn="0" w:lastRow="0" w:noHBand="0" w:noVBand="1" w:val="04A0"/>
      </w:tblPr>
      <w:tblGrid>
        <w:gridCol w:w="5100"/>
        <w:gridCol w:w="5100"/>
      </w:tblGrid>
      <w:tr>
        <w:trPr>
          <w:tblHeader/>
        </w:trPr>
        <w:tc>
          <w:tcPr>
            <w:tcW w:type="dxa" w:w="5100"/>
          </w:tcPr>
          <w:p>
            <w:r>
              <w:t>Elemento</w:t>
            </w:r>
          </w:p>
        </w:tc>
        <w:tc>
          <w:tcPr>
            <w:tcW w:type="dxa" w:w="5100"/>
          </w:tcPr>
          <w:p>
            <w:r>
              <w:t>Stato</w:t>
            </w:r>
          </w:p>
        </w:tc>
      </w:tr>
      <w:tr>
        <w:trPr>
          <w:cantSplit/>
        </w:trPr>
        <w:tc>
          <w:tcPr>
            <w:tcW w:type="dxa" w:w="5100"/>
          </w:tcPr>
          <w:p>
            <w:pPr>
              <w:spacing w:after="60"/>
            </w:pPr>
            <w:r>
              <w:rPr>
                <w:sz w:val="18"/>
              </w:rPr>
              <w:t>Fonti e metodo</w:t>
            </w:r>
          </w:p>
        </w:tc>
        <w:tc>
          <w:tcPr>
            <w:tcW w:type="dxa" w:w="5100"/>
          </w:tcPr>
          <w:p>
            <w:pPr>
              <w:spacing w:after="60"/>
            </w:pPr>
            <w:r>
              <w:rPr>
                <w:sz w:val="18"/>
              </w:rPr>
              <w:t>PDF e audio elaborati; incertezze evidenziate. Ricerca esterna citata. Nessun codice di prodotto sviluppato.</w:t>
            </w:r>
          </w:p>
        </w:tc>
      </w:tr>
      <w:tr>
        <w:trPr>
          <w:cantSplit/>
        </w:trPr>
        <w:tc>
          <w:tcPr>
            <w:tcW w:type="dxa" w:w="5100"/>
          </w:tcPr>
          <w:p>
            <w:pPr>
              <w:spacing w:after="60"/>
            </w:pPr>
            <w:r>
              <w:rPr>
                <w:sz w:val="18"/>
              </w:rPr>
              <w:t>Visione</w:t>
            </w:r>
          </w:p>
        </w:tc>
        <w:tc>
          <w:tcPr>
            <w:tcW w:type="dxa" w:w="5100"/>
          </w:tcPr>
          <w:p>
            <w:pPr>
              <w:spacing w:after="60"/>
            </w:pPr>
            <w:r>
              <w:rPr>
                <w:sz w:val="18"/>
              </w:rPr>
              <w:t>F: piattaforma web, mobile, card fisica/digitale, servizi per proprietari/inquilini e futuri totem.</w:t>
            </w:r>
          </w:p>
        </w:tc>
      </w:tr>
      <w:tr>
        <w:trPr>
          <w:cantSplit/>
        </w:trPr>
        <w:tc>
          <w:tcPr>
            <w:tcW w:type="dxa" w:w="5100"/>
          </w:tcPr>
          <w:p>
            <w:pPr>
              <w:spacing w:after="60"/>
            </w:pPr>
            <w:r>
              <w:rPr>
                <w:sz w:val="18"/>
              </w:rPr>
              <w:t>Servizio locale prima del SaaS</w:t>
            </w:r>
          </w:p>
        </w:tc>
        <w:tc>
          <w:tcPr>
            <w:tcW w:type="dxa" w:w="5100"/>
          </w:tcPr>
          <w:p>
            <w:pPr>
              <w:spacing w:after="60"/>
            </w:pPr>
            <w:r>
              <w:rPr>
                <w:sz w:val="18"/>
              </w:rPr>
              <w:t>P: raccomandazione, non decisione dei fondatori.</w:t>
            </w:r>
          </w:p>
        </w:tc>
      </w:tr>
      <w:tr>
        <w:trPr>
          <w:cantSplit/>
        </w:trPr>
        <w:tc>
          <w:tcPr>
            <w:tcW w:type="dxa" w:w="5100"/>
          </w:tcPr>
          <w:p>
            <w:pPr>
              <w:spacing w:after="60"/>
            </w:pPr>
            <w:r>
              <w:rPr>
                <w:sz w:val="18"/>
              </w:rPr>
              <w:t>PWA, pagamenti esterni iniziali e 3D/AI tramite alternative</w:t>
            </w:r>
          </w:p>
        </w:tc>
        <w:tc>
          <w:tcPr>
            <w:tcW w:type="dxa" w:w="5100"/>
          </w:tcPr>
          <w:p>
            <w:pPr>
              <w:spacing w:after="60"/>
            </w:pPr>
            <w:r>
              <w:rPr>
                <w:sz w:val="18"/>
              </w:rPr>
              <w:t>P: scelte condizionate al beneficio prioritario; nessun rinvio approvato.</w:t>
            </w:r>
          </w:p>
        </w:tc>
      </w:tr>
      <w:tr>
        <w:trPr>
          <w:cantSplit/>
        </w:trPr>
        <w:tc>
          <w:tcPr>
            <w:tcW w:type="dxa" w:w="5100"/>
          </w:tcPr>
          <w:p>
            <w:pPr>
              <w:spacing w:after="60"/>
            </w:pPr>
            <w:r>
              <w:rPr>
                <w:sz w:val="18"/>
              </w:rPr>
              <w:t>Italia, zona, portafoglio, risorse e prezzi</w:t>
            </w:r>
          </w:p>
        </w:tc>
        <w:tc>
          <w:tcPr>
            <w:tcW w:type="dxa" w:w="5100"/>
          </w:tcPr>
          <w:p>
            <w:pPr>
              <w:spacing w:after="60"/>
            </w:pPr>
            <w:r>
              <w:rPr>
                <w:sz w:val="18"/>
              </w:rPr>
              <w:t>H/aperte: da aggiornare con le risposte.</w:t>
            </w:r>
          </w:p>
        </w:tc>
      </w:tr>
      <w:tr>
        <w:trPr>
          <w:cantSplit/>
        </w:trPr>
        <w:tc>
          <w:tcPr>
            <w:tcW w:type="dxa" w:w="5100"/>
          </w:tcPr>
          <w:p>
            <w:pPr>
              <w:spacing w:after="60"/>
            </w:pPr>
            <w:r>
              <w:rPr>
                <w:sz w:val="18"/>
              </w:rPr>
              <w:t>Economia, tempi e soglie pilota</w:t>
            </w:r>
          </w:p>
        </w:tc>
        <w:tc>
          <w:tcPr>
            <w:tcW w:type="dxa" w:w="5100"/>
          </w:tcPr>
          <w:p>
            <w:pPr>
              <w:spacing w:after="60"/>
            </w:pPr>
            <w:r>
              <w:rPr>
                <w:sz w:val="18"/>
              </w:rPr>
              <w:t>H: scenari trasparenti e obiettivi di prova, non preventivi o previsioni.</w:t>
            </w:r>
          </w:p>
        </w:tc>
      </w:tr>
      <w:tr>
        <w:trPr>
          <w:cantSplit/>
        </w:trPr>
        <w:tc>
          <w:tcPr>
            <w:tcW w:type="dxa" w:w="5100"/>
          </w:tcPr>
          <w:p>
            <w:pPr>
              <w:spacing w:after="60"/>
            </w:pPr>
            <w:r>
              <w:rPr>
                <w:sz w:val="18"/>
              </w:rPr>
              <w:t>Prossima versione</w:t>
            </w:r>
          </w:p>
        </w:tc>
        <w:tc>
          <w:tcPr>
            <w:tcW w:type="dxa" w:w="5100"/>
          </w:tcPr>
          <w:p>
            <w:pPr>
              <w:spacing w:after="60"/>
            </w:pPr>
            <w:r>
              <w:rPr>
                <w:sz w:val="18"/>
              </w:rPr>
              <w:t>Aggiornare indicando per ogni risposta cosa diventa confermato e quali requisiti, costi o priorità cambiano; mantenere visibili le questioni ancora aperte.</w:t>
            </w:r>
          </w:p>
        </w:tc>
      </w:tr>
    </w:tbl>
    <w:p/>
    <w:p>
      <w:r>
        <w:t>Cinque domande prioritarie già presentate: periodicità/unità/inclusioni delle quote; città e portafoglio coinvolgibile; primo cliente pagante; promessa indispensabile per vendere; budget, persone e copertura operativa. In assenza di risposte la versione 0.1 resta una proposta ragionata, non un accordo di progetto.</w:t>
      </w:r>
    </w:p>
    <w:sectPr w:rsidR="00FC693F" w:rsidRPr="0006063C" w:rsidSect="00034616">
      <w:headerReference w:type="default" r:id="rId9"/>
      <w:footerReference w:type="default" r:id="rId10"/>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Proposte da validare • 5 ottobre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EECard • Documento di lavoro dei fondatori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F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F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F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ntila.it/support/faq" TargetMode="External"/><Relationship Id="rId12" Type="http://schemas.openxmlformats.org/officeDocument/2006/relationships/hyperlink" Target="https://www.rentila.it/support/rents-receipts-notices-invoices" TargetMode="External"/><Relationship Id="rId13" Type="http://schemas.openxmlformats.org/officeDocument/2006/relationships/hyperlink" Target="https://www.rentila.it/support/settings" TargetMode="External"/><Relationship Id="rId14" Type="http://schemas.openxmlformats.org/officeDocument/2006/relationships/hyperlink" Target="https://www.soloaffittipay.it/proprietario/pacchetti-e-servizi" TargetMode="External"/><Relationship Id="rId15" Type="http://schemas.openxmlformats.org/officeDocument/2006/relationships/hyperlink" Target="https://www.joivy.com/it/business/cosa-ti-offriamo/gestione-immobiliare/" TargetMode="External"/><Relationship Id="rId16" Type="http://schemas.openxmlformats.org/officeDocument/2006/relationships/hyperlink" Target="https://helpcenter.dovevivo.com/hc/it/articles/23481297545361-Che-cos-%C3%A8-il-rinnovo-del-contratto" TargetMode="External"/><Relationship Id="rId17" Type="http://schemas.openxmlformats.org/officeDocument/2006/relationships/hyperlink" Target="https://miogest.com/" TargetMode="External"/><Relationship Id="rId18" Type="http://schemas.openxmlformats.org/officeDocument/2006/relationships/hyperlink" Target="https://www.mooney.it/app-mooney" TargetMode="External"/><Relationship Id="rId19" Type="http://schemas.openxmlformats.org/officeDocument/2006/relationships/hyperlink" Target="https://www.enel.it/it-it/servizi/assistenza-riparazione/enel-assistenza-casa" TargetMode="External"/><Relationship Id="rId20" Type="http://schemas.openxmlformats.org/officeDocument/2006/relationships/hyperlink" Target="https://www.istat.it/comunicato-stampa/abitazioni-occupate/" TargetMode="External"/><Relationship Id="rId21" Type="http://schemas.openxmlformats.org/officeDocument/2006/relationships/hyperlink" Target="https://floorplanner.readme.io/reference/getting-started" TargetMode="External"/><Relationship Id="rId22" Type="http://schemas.openxmlformats.org/officeDocument/2006/relationships/hyperlink" Target="https://developer.apple.com/documentation/usernotifications/sending-web-push-notifications-in-web-apps-and-browsers" TargetMode="External"/><Relationship Id="rId23" Type="http://schemas.openxmlformats.org/officeDocument/2006/relationships/hyperlink" Target="https://developer.mozilla.org/en-US/docs/Web/API/Web_NFC_API" TargetMode="External"/><Relationship Id="rId24" Type="http://schemas.openxmlformats.org/officeDocument/2006/relationships/hyperlink" Target="https://www.bancaditalia.it/compiti/vigilanza/accesso-mercato/istituti-pagamento/index.html" TargetMode="External"/><Relationship Id="rId25" Type="http://schemas.openxmlformats.org/officeDocument/2006/relationships/hyperlink" Target="https://eur-lex.europa.eu/legal-content/IT/TXT/?uri=CELEX:32015L2366" TargetMode="External"/><Relationship Id="rId26" Type="http://schemas.openxmlformats.org/officeDocument/2006/relationships/hyperlink" Target="https://www.pagopa.it/it/prodotti-e-servizi/piattaforma-pagopa/" TargetMode="External"/><Relationship Id="rId27" Type="http://schemas.openxmlformats.org/officeDocument/2006/relationships/hyperlink" Target="https://www.pagopa.gov.it/it/cittadini/trasparenza-costi/" TargetMode="External"/><Relationship Id="rId28" Type="http://schemas.openxmlformats.org/officeDocument/2006/relationships/hyperlink" Target="https://stripe.com/it/pricing" TargetMode="External"/><Relationship Id="rId29" Type="http://schemas.openxmlformats.org/officeDocument/2006/relationships/hyperlink" Target="https://eur-lex.europa.eu/procedure/EN/2023_210" TargetMode="External"/><Relationship Id="rId30" Type="http://schemas.openxmlformats.org/officeDocument/2006/relationships/hyperlink" Target="https://eur-lex.europa.eu/legal-content/IT/TXT/?uri=CELEX:32016R0679" TargetMode="External"/><Relationship Id="rId31" Type="http://schemas.openxmlformats.org/officeDocument/2006/relationships/hyperlink" Target="https://www.mimit.gov.it/index.php/it/assistenza/domande-frequenti/diritto-di-recesso-domande-frequenti-faq" TargetMode="External"/><Relationship Id="rId32" Type="http://schemas.openxmlformats.org/officeDocument/2006/relationships/hyperlink" Target="https://accessibilita.agid.gov.it/domande-frequenti/" TargetMode="External"/><Relationship Id="rId33" Type="http://schemas.openxmlformats.org/officeDocument/2006/relationships/hyperlink" Target="https://digital-strategy.ec.europa.eu/en/faqs/transparency-obligations-under-article-50-ai-act" TargetMode="External"/><Relationship Id="rId34" Type="http://schemas.openxmlformats.org/officeDocument/2006/relationships/hyperlink" Target="https://www.apemarche.enea.it/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