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560" w:lineRule="auto"/>
        <w:jc w:val="center"/>
        <w:rPr/>
      </w:pPr>
      <w:r w:rsidDel="00000000" w:rsidR="00000000" w:rsidRPr="00000000">
        <w:rPr>
          <w:rtl w:val="0"/>
        </w:rPr>
      </w:r>
    </w:p>
    <w:p w:rsidR="00000000" w:rsidDel="00000000" w:rsidP="00000000" w:rsidRDefault="00000000" w:rsidRPr="00000000" w14:paraId="00000002">
      <w:pPr>
        <w:spacing w:after="160" w:before="560" w:lineRule="auto"/>
        <w:jc w:val="center"/>
        <w:rPr/>
      </w:pPr>
      <w:r w:rsidDel="00000000" w:rsidR="00000000" w:rsidRPr="00000000">
        <w:rPr>
          <w:rtl w:val="0"/>
        </w:rPr>
      </w:r>
    </w:p>
    <w:p w:rsidR="00000000" w:rsidDel="00000000" w:rsidP="00000000" w:rsidRDefault="00000000" w:rsidRPr="00000000" w14:paraId="00000003">
      <w:pPr>
        <w:spacing w:after="160" w:before="560" w:lineRule="auto"/>
        <w:jc w:val="center"/>
        <w:rPr/>
      </w:pPr>
      <w:r w:rsidDel="00000000" w:rsidR="00000000" w:rsidRPr="00000000">
        <w:rPr>
          <w:rtl w:val="0"/>
        </w:rPr>
      </w:r>
    </w:p>
    <w:p w:rsidR="00000000" w:rsidDel="00000000" w:rsidP="00000000" w:rsidRDefault="00000000" w:rsidRPr="00000000" w14:paraId="00000004">
      <w:pPr>
        <w:spacing w:after="160" w:before="560" w:lineRule="auto"/>
        <w:jc w:val="center"/>
        <w:rPr/>
      </w:pPr>
      <w:r w:rsidDel="00000000" w:rsidR="00000000" w:rsidRPr="00000000">
        <w:rPr>
          <w:rtl w:val="0"/>
        </w:rPr>
      </w:r>
    </w:p>
    <w:p w:rsidR="00000000" w:rsidDel="00000000" w:rsidP="00000000" w:rsidRDefault="00000000" w:rsidRPr="00000000" w14:paraId="00000005">
      <w:pPr>
        <w:spacing w:after="160" w:before="560" w:lineRule="auto"/>
        <w:jc w:val="center"/>
        <w:rPr/>
      </w:pPr>
      <w:r w:rsidDel="00000000" w:rsidR="00000000" w:rsidRPr="00000000">
        <w:rPr>
          <w:rtl w:val="0"/>
        </w:rPr>
      </w:r>
    </w:p>
    <w:p w:rsidR="00000000" w:rsidDel="00000000" w:rsidP="00000000" w:rsidRDefault="00000000" w:rsidRPr="00000000" w14:paraId="00000006">
      <w:pPr>
        <w:spacing w:after="160" w:before="560" w:lineRule="auto"/>
        <w:jc w:val="center"/>
        <w:rPr/>
      </w:pPr>
      <w:r w:rsidDel="00000000" w:rsidR="00000000" w:rsidRPr="00000000">
        <w:rPr>
          <w:rtl w:val="0"/>
        </w:rPr>
      </w:r>
    </w:p>
    <w:p w:rsidR="00000000" w:rsidDel="00000000" w:rsidP="00000000" w:rsidRDefault="00000000" w:rsidRPr="00000000" w14:paraId="00000007">
      <w:pPr>
        <w:spacing w:after="160" w:before="560" w:lineRule="auto"/>
        <w:jc w:val="center"/>
        <w:rPr/>
      </w:pPr>
      <w:r w:rsidDel="00000000" w:rsidR="00000000" w:rsidRPr="00000000">
        <w:rPr>
          <w:rtl w:val="0"/>
        </w:rPr>
      </w:r>
    </w:p>
    <w:p w:rsidR="00000000" w:rsidDel="00000000" w:rsidP="00000000" w:rsidRDefault="00000000" w:rsidRPr="00000000" w14:paraId="00000008">
      <w:pPr>
        <w:spacing w:after="160" w:before="560" w:lineRule="auto"/>
        <w:jc w:val="center"/>
        <w:rPr/>
      </w:pPr>
      <w:r w:rsidDel="00000000" w:rsidR="00000000" w:rsidRPr="00000000">
        <w:rPr>
          <w:rtl w:val="0"/>
        </w:rPr>
      </w:r>
    </w:p>
    <w:p w:rsidR="00000000" w:rsidDel="00000000" w:rsidP="00000000" w:rsidRDefault="00000000" w:rsidRPr="00000000" w14:paraId="00000009">
      <w:pPr>
        <w:spacing w:after="160" w:before="560" w:lineRule="auto"/>
        <w:jc w:val="center"/>
        <w:rPr/>
      </w:pPr>
      <w:r w:rsidDel="00000000" w:rsidR="00000000" w:rsidRPr="00000000">
        <w:rPr>
          <w:rtl w:val="0"/>
        </w:rPr>
      </w:r>
    </w:p>
    <w:p w:rsidR="00000000" w:rsidDel="00000000" w:rsidP="00000000" w:rsidRDefault="00000000" w:rsidRPr="00000000" w14:paraId="0000000A">
      <w:pPr>
        <w:spacing w:after="160" w:before="560" w:lineRule="auto"/>
        <w:jc w:val="center"/>
        <w:rPr/>
      </w:pPr>
      <w:r w:rsidDel="00000000" w:rsidR="00000000" w:rsidRPr="00000000">
        <w:rPr>
          <w:rtl w:val="0"/>
        </w:rPr>
      </w:r>
    </w:p>
    <w:p w:rsidR="00000000" w:rsidDel="00000000" w:rsidP="00000000" w:rsidRDefault="00000000" w:rsidRPr="00000000" w14:paraId="0000000B">
      <w:pPr>
        <w:spacing w:after="160" w:before="560" w:lineRule="auto"/>
        <w:jc w:val="center"/>
        <w:rPr/>
      </w:pPr>
      <w:r w:rsidDel="00000000" w:rsidR="00000000" w:rsidRPr="00000000">
        <w:rPr>
          <w:rtl w:val="0"/>
        </w:rPr>
      </w:r>
    </w:p>
    <w:p w:rsidR="00000000" w:rsidDel="00000000" w:rsidP="00000000" w:rsidRDefault="00000000" w:rsidRPr="00000000" w14:paraId="0000000C">
      <w:pPr>
        <w:spacing w:after="160" w:before="560" w:lineRule="auto"/>
        <w:jc w:val="center"/>
        <w:rPr/>
      </w:pPr>
      <w:r w:rsidDel="00000000" w:rsidR="00000000" w:rsidRPr="00000000">
        <w:rPr>
          <w:rtl w:val="0"/>
        </w:rPr>
      </w:r>
    </w:p>
    <w:p w:rsidR="00000000" w:rsidDel="00000000" w:rsidP="00000000" w:rsidRDefault="00000000" w:rsidRPr="00000000" w14:paraId="0000000D">
      <w:pPr>
        <w:spacing w:after="160" w:before="560" w:lineRule="auto"/>
        <w:jc w:val="center"/>
        <w:rPr/>
      </w:pPr>
      <w:r w:rsidDel="00000000" w:rsidR="00000000" w:rsidRPr="00000000">
        <w:rPr/>
        <w:drawing>
          <wp:inline distB="0" distT="0" distL="0" distR="0">
            <wp:extent cx="1809750" cy="6477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097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80" w:before="60" w:lineRule="auto"/>
        <w:jc w:val="center"/>
        <w:rPr/>
      </w:pPr>
      <w:r w:rsidDel="00000000" w:rsidR="00000000" w:rsidRPr="00000000">
        <w:rPr>
          <w:b w:val="1"/>
          <w:bCs w:val="1"/>
          <w:color w:val="6b0e0e"/>
          <w:sz w:val="26"/>
          <w:szCs w:val="26"/>
          <w:rtl w:val="0"/>
        </w:rPr>
        <w:t xml:space="preserve">Universidad Autónoma del Estado de Hidalgo</w:t>
      </w:r>
      <w:r w:rsidDel="00000000" w:rsidR="00000000" w:rsidRPr="00000000">
        <w:rPr>
          <w:rtl w:val="0"/>
        </w:rPr>
      </w:r>
    </w:p>
    <w:p w:rsidR="00000000" w:rsidDel="00000000" w:rsidP="00000000" w:rsidRDefault="00000000" w:rsidRPr="00000000" w14:paraId="0000000F">
      <w:pPr>
        <w:spacing w:after="80" w:before="60" w:lineRule="auto"/>
        <w:jc w:val="center"/>
        <w:rPr/>
      </w:pPr>
      <w:r w:rsidDel="00000000" w:rsidR="00000000" w:rsidRPr="00000000">
        <w:rPr>
          <w:color w:val="555555"/>
          <w:sz w:val="20"/>
          <w:szCs w:val="20"/>
          <w:rtl w:val="0"/>
        </w:rPr>
        <w:t xml:space="preserve">Instituto de Ciencias Básicas e Ingeniería</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tl w:val="0"/>
        </w:rPr>
      </w:r>
    </w:p>
    <w:p w:rsidR="00000000" w:rsidDel="00000000" w:rsidP="00000000" w:rsidRDefault="00000000" w:rsidRPr="00000000" w14:paraId="00000011">
      <w:pPr>
        <w:pBdr>
          <w:bottom w:color="b01010" w:space="1" w:sz="8" w:val="single"/>
        </w:pBdr>
        <w:spacing w:after="80" w:before="80" w:lineRule="auto"/>
        <w:rPr/>
      </w:pP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tl w:val="0"/>
        </w:rPr>
      </w:r>
    </w:p>
    <w:p w:rsidR="00000000" w:rsidDel="00000000" w:rsidP="00000000" w:rsidRDefault="00000000" w:rsidRPr="00000000" w14:paraId="00000013">
      <w:pPr>
        <w:spacing w:after="80" w:before="60" w:lineRule="auto"/>
        <w:jc w:val="center"/>
        <w:rPr/>
      </w:pPr>
      <w:r w:rsidDel="00000000" w:rsidR="00000000" w:rsidRPr="00000000">
        <w:rPr>
          <w:b w:val="1"/>
          <w:bCs w:val="1"/>
          <w:rtl w:val="0"/>
        </w:rPr>
        <w:t xml:space="preserve">LICENCIATURA EN SISTEMAS COMPUTACIONALES</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tl w:val="0"/>
        </w:rPr>
      </w:r>
    </w:p>
    <w:p w:rsidR="00000000" w:rsidDel="00000000" w:rsidP="00000000" w:rsidRDefault="00000000" w:rsidRPr="00000000" w14:paraId="00000015">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tl w:val="0"/>
        </w:rPr>
      </w:r>
    </w:p>
    <w:p w:rsidR="00000000" w:rsidDel="00000000" w:rsidP="00000000" w:rsidRDefault="00000000" w:rsidRPr="00000000" w14:paraId="00000017">
      <w:pPr>
        <w:spacing w:after="80" w:before="60" w:lineRule="auto"/>
        <w:jc w:val="center"/>
        <w:rPr/>
      </w:pPr>
      <w:r w:rsidDel="00000000" w:rsidR="00000000" w:rsidRPr="00000000">
        <w:rPr>
          <w:b w:val="1"/>
          <w:bCs w:val="1"/>
          <w:color w:val="b01010"/>
          <w:sz w:val="18"/>
          <w:szCs w:val="18"/>
          <w:rtl w:val="0"/>
        </w:rPr>
        <w:t xml:space="preserve">A S I G N A T U R A</w:t>
      </w:r>
      <w:r w:rsidDel="00000000" w:rsidR="00000000" w:rsidRPr="00000000">
        <w:rPr>
          <w:rtl w:val="0"/>
        </w:rPr>
      </w:r>
    </w:p>
    <w:p w:rsidR="00000000" w:rsidDel="00000000" w:rsidP="00000000" w:rsidRDefault="00000000" w:rsidRPr="00000000" w14:paraId="00000018">
      <w:pPr>
        <w:spacing w:after="80" w:before="60" w:lineRule="auto"/>
        <w:jc w:val="center"/>
        <w:rPr/>
      </w:pPr>
      <w:r w:rsidDel="00000000" w:rsidR="00000000" w:rsidRPr="00000000">
        <w:rPr>
          <w:b w:val="1"/>
          <w:bCs w:val="1"/>
          <w:color w:val="6b0e0e"/>
          <w:sz w:val="30"/>
          <w:szCs w:val="30"/>
          <w:rtl w:val="0"/>
        </w:rPr>
        <w:t xml:space="preserve">Sistemas Basados en Conocimiento</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tl w:val="0"/>
        </w:rPr>
      </w:r>
    </w:p>
    <w:p w:rsidR="00000000" w:rsidDel="00000000" w:rsidP="00000000" w:rsidRDefault="00000000" w:rsidRPr="00000000" w14:paraId="0000001A">
      <w:pPr>
        <w:spacing w:after="80" w:before="60" w:lineRule="auto"/>
        <w:jc w:val="center"/>
        <w:rPr/>
      </w:pPr>
      <w:r w:rsidDel="00000000" w:rsidR="00000000" w:rsidRPr="00000000">
        <w:rPr>
          <w:b w:val="1"/>
          <w:bCs w:val="1"/>
          <w:color w:val="b01010"/>
          <w:sz w:val="17"/>
          <w:szCs w:val="17"/>
          <w:rtl w:val="0"/>
        </w:rPr>
        <w:t xml:space="preserve">N O M B R E   D E L   P R O Y E C T O</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rtl w:val="0"/>
        </w:rPr>
      </w:r>
    </w:p>
    <w:p w:rsidR="00000000" w:rsidDel="00000000" w:rsidP="00000000" w:rsidRDefault="00000000" w:rsidRPr="00000000" w14:paraId="0000001C">
      <w:pPr>
        <w:spacing w:after="80" w:before="60" w:lineRule="auto"/>
        <w:jc w:val="center"/>
        <w:rPr/>
      </w:pPr>
      <w:r w:rsidDel="00000000" w:rsidR="00000000" w:rsidRPr="00000000">
        <w:rPr>
          <w:b w:val="1"/>
          <w:bCs w:val="1"/>
          <w:color w:val="6b0e0e"/>
          <w:sz w:val="28"/>
          <w:szCs w:val="28"/>
          <w:rtl w:val="0"/>
        </w:rPr>
        <w:t xml:space="preserve">FinExpert: Sistema Basado en Conocimiento</w:t>
      </w:r>
      <w:r w:rsidDel="00000000" w:rsidR="00000000" w:rsidRPr="00000000">
        <w:rPr>
          <w:rtl w:val="0"/>
        </w:rPr>
      </w:r>
    </w:p>
    <w:p w:rsidR="00000000" w:rsidDel="00000000" w:rsidP="00000000" w:rsidRDefault="00000000" w:rsidRPr="00000000" w14:paraId="0000001D">
      <w:pPr>
        <w:spacing w:after="80" w:before="60" w:lineRule="auto"/>
        <w:jc w:val="center"/>
        <w:rPr/>
      </w:pPr>
      <w:r w:rsidDel="00000000" w:rsidR="00000000" w:rsidRPr="00000000">
        <w:rPr>
          <w:color w:val="6b0e0e"/>
          <w:sz w:val="24"/>
          <w:szCs w:val="24"/>
          <w:rtl w:val="0"/>
        </w:rPr>
        <w:t xml:space="preserve">para el Diagnóstico y Recomendación</w:t>
      </w:r>
      <w:r w:rsidDel="00000000" w:rsidR="00000000" w:rsidRPr="00000000">
        <w:rPr>
          <w:rtl w:val="0"/>
        </w:rPr>
      </w:r>
    </w:p>
    <w:p w:rsidR="00000000" w:rsidDel="00000000" w:rsidP="00000000" w:rsidRDefault="00000000" w:rsidRPr="00000000" w14:paraId="0000001E">
      <w:pPr>
        <w:spacing w:after="80" w:before="60" w:lineRule="auto"/>
        <w:jc w:val="center"/>
        <w:rPr/>
      </w:pPr>
      <w:r w:rsidDel="00000000" w:rsidR="00000000" w:rsidRPr="00000000">
        <w:rPr>
          <w:color w:val="6b0e0e"/>
          <w:rtl w:val="0"/>
        </w:rPr>
        <w:t xml:space="preserve">en Finanzas Personales</w:t>
      </w:r>
      <w:r w:rsidDel="00000000" w:rsidR="00000000" w:rsidRPr="00000000">
        <w:rPr>
          <w:rtl w:val="0"/>
        </w:rPr>
      </w:r>
    </w:p>
    <w:p w:rsidR="00000000" w:rsidDel="00000000" w:rsidP="00000000" w:rsidRDefault="00000000" w:rsidRPr="00000000" w14:paraId="0000001F">
      <w:pPr>
        <w:spacing w:after="240" w:lineRule="auto"/>
        <w:rPr/>
      </w:pPr>
      <w:r w:rsidDel="00000000" w:rsidR="00000000" w:rsidRPr="00000000">
        <w:rPr>
          <w:rtl w:val="0"/>
        </w:rPr>
      </w:r>
    </w:p>
    <w:p w:rsidR="00000000" w:rsidDel="00000000" w:rsidP="00000000" w:rsidRDefault="00000000" w:rsidRPr="00000000" w14:paraId="00000020">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spacing w:after="80" w:before="60" w:lineRule="auto"/>
        <w:jc w:val="center"/>
        <w:rPr/>
      </w:pPr>
      <w:r w:rsidDel="00000000" w:rsidR="00000000" w:rsidRPr="00000000">
        <w:rPr>
          <w:b w:val="1"/>
          <w:bCs w:val="1"/>
          <w:color w:val="b01010"/>
          <w:sz w:val="18"/>
          <w:szCs w:val="18"/>
          <w:rtl w:val="0"/>
        </w:rPr>
        <w:t xml:space="preserve">I N T E G R A N T E S   D E L   E Q U I P O</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tl w:val="0"/>
        </w:rPr>
      </w:r>
    </w:p>
    <w:p w:rsidR="00000000" w:rsidDel="00000000" w:rsidP="00000000" w:rsidRDefault="00000000" w:rsidRPr="00000000" w14:paraId="00000024">
      <w:pPr>
        <w:spacing w:after="80" w:before="60" w:lineRule="auto"/>
        <w:jc w:val="center"/>
        <w:rPr/>
      </w:pPr>
      <w:r w:rsidDel="00000000" w:rsidR="00000000" w:rsidRPr="00000000">
        <w:rPr>
          <w:b w:val="1"/>
          <w:bCs w:val="1"/>
          <w:color w:val="6b0e0e"/>
          <w:sz w:val="24"/>
          <w:szCs w:val="24"/>
          <w:rtl w:val="0"/>
        </w:rPr>
        <w:t xml:space="preserve">Mario Ávila</w:t>
      </w:r>
      <w:r w:rsidDel="00000000" w:rsidR="00000000" w:rsidRPr="00000000">
        <w:rPr>
          <w:rtl w:val="0"/>
        </w:rPr>
      </w:r>
    </w:p>
    <w:p w:rsidR="00000000" w:rsidDel="00000000" w:rsidP="00000000" w:rsidRDefault="00000000" w:rsidRPr="00000000" w14:paraId="00000025">
      <w:pPr>
        <w:spacing w:after="80" w:before="60" w:lineRule="auto"/>
        <w:jc w:val="center"/>
        <w:rPr/>
      </w:pPr>
      <w:r w:rsidDel="00000000" w:rsidR="00000000" w:rsidRPr="00000000">
        <w:rPr>
          <w:color w:val="555555"/>
          <w:sz w:val="19"/>
          <w:szCs w:val="19"/>
          <w:rtl w:val="0"/>
        </w:rPr>
        <w:t xml:space="preserve">Desarrollador — Base de Conocimiento</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tl w:val="0"/>
        </w:rPr>
      </w:r>
    </w:p>
    <w:p w:rsidR="00000000" w:rsidDel="00000000" w:rsidP="00000000" w:rsidRDefault="00000000" w:rsidRPr="00000000" w14:paraId="00000027">
      <w:pPr>
        <w:spacing w:after="80" w:before="60" w:lineRule="auto"/>
        <w:jc w:val="center"/>
        <w:rPr/>
      </w:pPr>
      <w:r w:rsidDel="00000000" w:rsidR="00000000" w:rsidRPr="00000000">
        <w:rPr>
          <w:b w:val="1"/>
          <w:bCs w:val="1"/>
          <w:color w:val="6b0e0e"/>
          <w:sz w:val="24"/>
          <w:szCs w:val="24"/>
          <w:rtl w:val="0"/>
        </w:rPr>
        <w:t xml:space="preserve">Eduardo Figueroa</w:t>
      </w:r>
      <w:r w:rsidDel="00000000" w:rsidR="00000000" w:rsidRPr="00000000">
        <w:rPr>
          <w:rtl w:val="0"/>
        </w:rPr>
      </w:r>
    </w:p>
    <w:p w:rsidR="00000000" w:rsidDel="00000000" w:rsidP="00000000" w:rsidRDefault="00000000" w:rsidRPr="00000000" w14:paraId="00000028">
      <w:pPr>
        <w:spacing w:after="80" w:before="60" w:lineRule="auto"/>
        <w:jc w:val="center"/>
        <w:rPr/>
      </w:pPr>
      <w:r w:rsidDel="00000000" w:rsidR="00000000" w:rsidRPr="00000000">
        <w:rPr>
          <w:color w:val="555555"/>
          <w:sz w:val="19"/>
          <w:szCs w:val="19"/>
          <w:rtl w:val="0"/>
        </w:rPr>
        <w:t xml:space="preserve">Desarrollador — Motor de Inferencia</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r>
    </w:p>
    <w:p w:rsidR="00000000" w:rsidDel="00000000" w:rsidP="00000000" w:rsidRDefault="00000000" w:rsidRPr="00000000" w14:paraId="0000002A">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tl w:val="0"/>
        </w:rPr>
      </w:r>
    </w:p>
    <w:p w:rsidR="00000000" w:rsidDel="00000000" w:rsidP="00000000" w:rsidRDefault="00000000" w:rsidRPr="00000000" w14:paraId="0000002C">
      <w:pPr>
        <w:spacing w:after="80" w:before="60" w:lineRule="auto"/>
        <w:jc w:val="center"/>
        <w:rPr/>
      </w:pPr>
      <w:r w:rsidDel="00000000" w:rsidR="00000000" w:rsidRPr="00000000">
        <w:rPr>
          <w:color w:val="555555"/>
          <w:sz w:val="19"/>
          <w:szCs w:val="19"/>
          <w:rtl w:val="0"/>
        </w:rPr>
        <w:t xml:space="preserve">Período: Enero – Junio 2025  ·  Hidalgo, México</w:t>
      </w:r>
      <w:r w:rsidDel="00000000" w:rsidR="00000000" w:rsidRPr="00000000">
        <w:rPr>
          <w:rtl w:val="0"/>
        </w:rPr>
      </w:r>
    </w:p>
    <w:p w:rsidR="00000000" w:rsidDel="00000000" w:rsidP="00000000" w:rsidRDefault="00000000" w:rsidRPr="00000000" w14:paraId="0000002D">
      <w:pPr>
        <w:spacing w:after="80" w:before="60" w:lineRule="auto"/>
        <w:jc w:val="center"/>
        <w:rPr/>
      </w:pPr>
      <w:r w:rsidDel="00000000" w:rsidR="00000000" w:rsidRPr="00000000">
        <w:rPr>
          <w:b w:val="1"/>
          <w:bCs w:val="1"/>
          <w:color w:val="b01010"/>
          <w:sz w:val="18"/>
          <w:szCs w:val="18"/>
          <w:rtl w:val="0"/>
        </w:rPr>
        <w:t xml:space="preserve">Entrega Parcial 1: Introducción al Proyecto</w:t>
      </w:r>
      <w:r w:rsidDel="00000000" w:rsidR="00000000" w:rsidRPr="00000000">
        <w:rPr>
          <w:rtl w:val="0"/>
        </w:rPr>
      </w:r>
    </w:p>
    <w:p w:rsidR="00000000" w:rsidDel="00000000" w:rsidP="00000000" w:rsidRDefault="00000000" w:rsidRPr="00000000" w14:paraId="0000002E">
      <w:pPr>
        <w:pageBreakBefore w:val="1"/>
        <w:rPr/>
      </w:pPr>
      <w:r w:rsidDel="00000000" w:rsidR="00000000" w:rsidRPr="00000000">
        <w:rPr>
          <w:rtl w:val="0"/>
        </w:rPr>
      </w:r>
    </w:p>
    <w:p w:rsidR="00000000" w:rsidDel="00000000" w:rsidP="00000000" w:rsidRDefault="00000000" w:rsidRPr="00000000" w14:paraId="0000002F">
      <w:pPr>
        <w:spacing w:after="60" w:before="120" w:lineRule="auto"/>
        <w:jc w:val="center"/>
        <w:rPr/>
      </w:pPr>
      <w:r w:rsidDel="00000000" w:rsidR="00000000" w:rsidRPr="00000000">
        <w:rPr>
          <w:b w:val="1"/>
          <w:bCs w:val="1"/>
          <w:color w:val="b01010"/>
          <w:sz w:val="32"/>
          <w:szCs w:val="32"/>
          <w:rtl w:val="0"/>
        </w:rPr>
        <w:t xml:space="preserve">PROYECTO DE SBC</w:t>
      </w:r>
      <w:r w:rsidDel="00000000" w:rsidR="00000000" w:rsidRPr="00000000">
        <w:rPr>
          <w:rtl w:val="0"/>
        </w:rPr>
      </w:r>
    </w:p>
    <w:p w:rsidR="00000000" w:rsidDel="00000000" w:rsidP="00000000" w:rsidRDefault="00000000" w:rsidRPr="00000000" w14:paraId="00000030">
      <w:pPr>
        <w:spacing w:after="60" w:lineRule="auto"/>
        <w:jc w:val="center"/>
        <w:rPr/>
      </w:pPr>
      <w:r w:rsidDel="00000000" w:rsidR="00000000" w:rsidRPr="00000000">
        <w:rPr>
          <w:i w:val="1"/>
          <w:iCs w:val="1"/>
          <w:color w:val="555555"/>
          <w:sz w:val="18"/>
          <w:szCs w:val="18"/>
          <w:rtl w:val="0"/>
        </w:rPr>
        <w:t xml:space="preserve">Sistemas Basados en Conocimiento  ·  UAEH  ·  2025</w:t>
      </w:r>
      <w:r w:rsidDel="00000000" w:rsidR="00000000" w:rsidRPr="00000000">
        <w:rPr>
          <w:rtl w:val="0"/>
        </w:rPr>
      </w:r>
    </w:p>
    <w:p w:rsidR="00000000" w:rsidDel="00000000" w:rsidP="00000000" w:rsidRDefault="00000000" w:rsidRPr="00000000" w14:paraId="00000031">
      <w:pPr>
        <w:pBdr>
          <w:bottom w:color="b01010" w:space="1" w:sz="8" w:val="single"/>
        </w:pBdr>
        <w:spacing w:after="80" w:before="80" w:lineRule="auto"/>
        <w:rPr/>
      </w:pP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a) Revisión de la Literatura</w:t>
      </w:r>
    </w:p>
    <w:p w:rsidR="00000000" w:rsidDel="00000000" w:rsidP="00000000" w:rsidRDefault="00000000" w:rsidRPr="00000000" w14:paraId="00000034">
      <w:pPr>
        <w:pStyle w:val="Heading1"/>
        <w:rPr>
          <w:b w:val="0"/>
          <w:bCs w:val="0"/>
          <w:color w:val="980000"/>
          <w:sz w:val="26"/>
          <w:szCs w:val="26"/>
        </w:rPr>
      </w:pPr>
      <w:r w:rsidDel="00000000" w:rsidR="00000000" w:rsidRPr="00000000">
        <w:rPr>
          <w:b w:val="0"/>
          <w:bCs w:val="0"/>
          <w:color w:val="980000"/>
          <w:sz w:val="26"/>
          <w:szCs w:val="26"/>
          <w:rtl w:val="0"/>
        </w:rPr>
        <w:t xml:space="preserve">Antecedentes</w:t>
      </w:r>
    </w:p>
    <w:p w:rsidR="00000000" w:rsidDel="00000000" w:rsidP="00000000" w:rsidRDefault="00000000" w:rsidRPr="00000000" w14:paraId="00000035">
      <w:pPr>
        <w:pStyle w:val="Heading1"/>
        <w:rPr>
          <w:b w:val="0"/>
          <w:bCs w:val="0"/>
          <w:color w:val="000000"/>
          <w:sz w:val="26"/>
          <w:szCs w:val="26"/>
        </w:rPr>
      </w:pPr>
      <w:r w:rsidDel="00000000" w:rsidR="00000000" w:rsidRPr="00000000">
        <w:rPr>
          <w:b w:val="0"/>
          <w:bCs w:val="0"/>
          <w:color w:val="000000"/>
          <w:sz w:val="26"/>
          <w:szCs w:val="26"/>
          <w:rtl w:val="0"/>
        </w:rPr>
        <w:t xml:space="preserve">Los Sistemas Basados en Conocimiento (SBC), o Sistemas Expertos, tienen su origen en la década de los sesenta, siendo el científico Edward Feigenbaum —fundador del Laboratorio de Sistemas de Conocimiento de la Universidad de Stanford— considerado el pionero de esta disciplina. Desde sus inicios, la comunidad científica vislumbró que, al combinar un conjunto de reglas lógicas de razonamiento con la capacidad de procesamiento de las computadoras, era posible replicar el pensamiento analítico de un especialista humano.</w:t>
      </w:r>
    </w:p>
    <w:p w:rsidR="00000000" w:rsidDel="00000000" w:rsidP="00000000" w:rsidRDefault="00000000" w:rsidRPr="00000000" w14:paraId="00000036">
      <w:pPr>
        <w:pStyle w:val="Heading1"/>
        <w:rPr>
          <w:b w:val="0"/>
          <w:bCs w:val="0"/>
          <w:color w:val="000000"/>
          <w:sz w:val="26"/>
          <w:szCs w:val="26"/>
        </w:rPr>
      </w:pPr>
      <w:r w:rsidDel="00000000" w:rsidR="00000000" w:rsidRPr="00000000">
        <w:rPr>
          <w:b w:val="0"/>
          <w:bCs w:val="0"/>
          <w:color w:val="000000"/>
          <w:sz w:val="26"/>
          <w:szCs w:val="26"/>
          <w:rtl w:val="0"/>
        </w:rPr>
        <w:t xml:space="preserve">Definiciones y Conceptos Fundamentales: Un SBC se define como un sistema computacional sustentado en una amplia base de conocimientos sobre un dominio específico, cuya arquitectura se organiza en tres niveles fundamentales: los datos o hechos empíricos, las reglas operativas o heurísticas, y el mecanismo de inferencia y control. En su operación, la base de conocimiento aloja las variables y el conjunto de reglas que estructuran el problema, mientras que la máquina de deducción (motor de inferencia) se encarga de aplicar la lógica deductiva para arrojar conclusiones precisas.</w:t>
      </w:r>
    </w:p>
    <w:p w:rsidR="00000000" w:rsidDel="00000000" w:rsidP="00000000" w:rsidRDefault="00000000" w:rsidRPr="00000000" w14:paraId="00000037">
      <w:pPr>
        <w:pStyle w:val="Heading1"/>
        <w:rPr>
          <w:b w:val="0"/>
          <w:bCs w:val="0"/>
          <w:color w:val="000000"/>
          <w:sz w:val="26"/>
          <w:szCs w:val="26"/>
        </w:rPr>
      </w:pPr>
      <w:r w:rsidDel="00000000" w:rsidR="00000000" w:rsidRPr="00000000">
        <w:rPr>
          <w:b w:val="0"/>
          <w:bCs w:val="0"/>
          <w:color w:val="000000"/>
          <w:sz w:val="26"/>
          <w:szCs w:val="26"/>
          <w:rtl w:val="0"/>
        </w:rPr>
        <w:t xml:space="preserve">Teorías y Modelos: Típicamente, los sistemas expertos se han destinado a la solución de problemas complejos o "mal estructurados" para los cuales no existen procedimientos algorítmicos secuenciales predefinidos. Al operar bajo condiciones de información que puede ser imprecisa o insuficiente, funcionan como excelentes herramientas de apoyo al diagnóstico, siendo también sumamente útiles para el entrenamiento e instrucción de usuarios no especializados.</w:t>
      </w:r>
    </w:p>
    <w:p w:rsidR="00000000" w:rsidDel="00000000" w:rsidP="00000000" w:rsidRDefault="00000000" w:rsidRPr="00000000" w14:paraId="00000038">
      <w:pPr>
        <w:pStyle w:val="Heading1"/>
        <w:rPr>
          <w:b w:val="0"/>
          <w:bCs w:val="0"/>
          <w:color w:val="000000"/>
          <w:sz w:val="26"/>
          <w:szCs w:val="26"/>
        </w:rPr>
      </w:pPr>
      <w:r w:rsidDel="00000000" w:rsidR="00000000" w:rsidRPr="00000000">
        <w:rPr>
          <w:b w:val="0"/>
          <w:bCs w:val="0"/>
          <w:color w:val="000000"/>
          <w:sz w:val="26"/>
          <w:szCs w:val="26"/>
          <w:rtl w:val="0"/>
        </w:rPr>
        <w:t xml:space="preserve">Estudios Previos en Finanzas: En el ámbito económico, la literatura documenta un enfoque histórico en el desarrollo de sistemas basados en reglas para modelar decisiones financieras complejas. Diversos estudios han utilizado sistemas expertos para capturar y digitalizar el conocimiento de los asesores en finanzas, permitiendo replicar sus procesos de evaluación de perfiles y decisiones de inversión con un alto grado de exactitud.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b w:val="0"/>
          <w:bCs w:val="0"/>
          <w:color w:val="980000"/>
          <w:sz w:val="26"/>
          <w:szCs w:val="26"/>
        </w:rPr>
      </w:pPr>
      <w:r w:rsidDel="00000000" w:rsidR="00000000" w:rsidRPr="00000000">
        <w:rPr>
          <w:b w:val="0"/>
          <w:bCs w:val="0"/>
          <w:color w:val="980000"/>
          <w:sz w:val="26"/>
          <w:szCs w:val="26"/>
          <w:rtl w:val="0"/>
        </w:rPr>
        <w:t xml:space="preserve">Estado del Arte</w:t>
      </w:r>
    </w:p>
    <w:p w:rsidR="00000000" w:rsidDel="00000000" w:rsidP="00000000" w:rsidRDefault="00000000" w:rsidRPr="00000000" w14:paraId="0000003C">
      <w:pPr>
        <w:pStyle w:val="Heading1"/>
        <w:rPr>
          <w:b w:val="0"/>
          <w:bCs w:val="0"/>
          <w:color w:val="000000"/>
          <w:sz w:val="26"/>
          <w:szCs w:val="26"/>
        </w:rPr>
      </w:pPr>
      <w:r w:rsidDel="00000000" w:rsidR="00000000" w:rsidRPr="00000000">
        <w:rPr>
          <w:b w:val="0"/>
          <w:bCs w:val="0"/>
          <w:color w:val="000000"/>
          <w:sz w:val="26"/>
          <w:szCs w:val="26"/>
          <w:rtl w:val="0"/>
        </w:rPr>
        <w:t xml:space="preserve">La evolución tecnológica ha transformado radicalmente el sector financiero, transitando de modelos puramente deterministas a arquitecturas que integran el razonamiento simbólico clásico con nuevas capacidades de procesamiento.</w:t>
      </w:r>
    </w:p>
    <w:p w:rsidR="00000000" w:rsidDel="00000000" w:rsidP="00000000" w:rsidRDefault="00000000" w:rsidRPr="00000000" w14:paraId="0000003D">
      <w:pPr>
        <w:pStyle w:val="Heading1"/>
        <w:rPr>
          <w:b w:val="0"/>
          <w:bCs w:val="0"/>
          <w:color w:val="000000"/>
          <w:sz w:val="26"/>
          <w:szCs w:val="26"/>
        </w:rPr>
      </w:pPr>
      <w:r w:rsidDel="00000000" w:rsidR="00000000" w:rsidRPr="00000000">
        <w:rPr>
          <w:b w:val="0"/>
          <w:bCs w:val="0"/>
          <w:color w:val="000000"/>
          <w:sz w:val="26"/>
          <w:szCs w:val="26"/>
          <w:rtl w:val="0"/>
        </w:rPr>
        <w:t xml:space="preserve">Tecnologías y Metodologías Actuales: En la ingeniería financiera contemporánea, los SBC simulan el razonamiento humano para brindar soporte directo en la toma de decisiones estratégicas. Investigaciones recientes destacan la aplicación de la inteligencia artificial —específicamente a través de árboles de decisión y redes neuronales— para analizar los gastos familiares. Estas metodologías permiten proyectar los rubros en los que un usuario gastará más en el futuro, indicando de manera predictiva hacia dónde debe enfocar su ahorro y cómo estructurar su presupuesto personal.</w:t>
      </w:r>
    </w:p>
    <w:p w:rsidR="00000000" w:rsidDel="00000000" w:rsidP="00000000" w:rsidRDefault="00000000" w:rsidRPr="00000000" w14:paraId="0000003E">
      <w:pPr>
        <w:pStyle w:val="Heading1"/>
        <w:rPr>
          <w:b w:val="0"/>
          <w:bCs w:val="0"/>
          <w:color w:val="000000"/>
          <w:sz w:val="26"/>
          <w:szCs w:val="26"/>
        </w:rPr>
      </w:pPr>
      <w:r w:rsidDel="00000000" w:rsidR="00000000" w:rsidRPr="00000000">
        <w:rPr>
          <w:b w:val="0"/>
          <w:bCs w:val="0"/>
          <w:color w:val="000000"/>
          <w:sz w:val="26"/>
          <w:szCs w:val="26"/>
          <w:rtl w:val="0"/>
        </w:rPr>
        <w:t xml:space="preserve">Tendencias Futuras: La tendencia predominante en el mercado es la consolidación de los denominados robo-advisors o asesores financieros automatizados. Estos asistentes digitales utilizan motores de inferencia para ofrecer servicios de asesoría de bajo costo, ayudando a los clientes no solo a gestionar sus deudas, sino también a tomar decisiones informadas sobre inversiones y creación de patrimonio. El objetivo a futuro no es sustituir al analista humano, sino democratizar la educación financiera, convirtiendo a la inteligencia artificial en un compañero interactivo, analítico y accesible para la población general.</w:t>
      </w:r>
    </w:p>
    <w:p w:rsidR="00000000" w:rsidDel="00000000" w:rsidP="00000000" w:rsidRDefault="00000000" w:rsidRPr="00000000" w14:paraId="0000003F">
      <w:pPr>
        <w:pStyle w:val="Heading1"/>
        <w:rPr/>
      </w:pPr>
      <w:r w:rsidDel="00000000" w:rsidR="00000000" w:rsidRPr="00000000">
        <w:rPr>
          <w:rtl w:val="0"/>
        </w:rPr>
        <w:t xml:space="preserve">B)  Nombre Tentativo del Sistema</w:t>
      </w:r>
    </w:p>
    <w:p w:rsidR="00000000" w:rsidDel="00000000" w:rsidP="00000000" w:rsidRDefault="00000000" w:rsidRPr="00000000" w14:paraId="00000040">
      <w:pPr>
        <w:spacing w:after="80" w:before="100" w:lineRule="auto"/>
        <w:jc w:val="center"/>
        <w:rPr/>
      </w:pPr>
      <w:r w:rsidDel="00000000" w:rsidR="00000000" w:rsidRPr="00000000">
        <w:rPr>
          <w:b w:val="1"/>
          <w:bCs w:val="1"/>
          <w:color w:val="6b0e0e"/>
          <w:sz w:val="23"/>
          <w:szCs w:val="23"/>
          <w:u w:val="single"/>
          <w:rtl w:val="0"/>
        </w:rPr>
        <w:t xml:space="preserve">FinExpert: Sistema Experto para el Diagnóstico y Recomendación en Finanzas Personales</w:t>
      </w:r>
      <w:r w:rsidDel="00000000" w:rsidR="00000000" w:rsidRPr="00000000">
        <w:rPr>
          <w:rtl w:val="0"/>
        </w:rPr>
      </w:r>
    </w:p>
    <w:p w:rsidR="00000000" w:rsidDel="00000000" w:rsidP="00000000" w:rsidRDefault="00000000" w:rsidRPr="00000000" w14:paraId="00000041">
      <w:pPr>
        <w:spacing w:after="120" w:before="60" w:line="300" w:lineRule="auto"/>
        <w:jc w:val="both"/>
        <w:rPr/>
      </w:pPr>
      <w:r w:rsidDel="00000000" w:rsidR="00000000" w:rsidRPr="00000000">
        <w:rPr>
          <w:rtl w:val="0"/>
        </w:rPr>
        <w:t xml:space="preserve">El nombre </w:t>
      </w:r>
      <w:r w:rsidDel="00000000" w:rsidR="00000000" w:rsidRPr="00000000">
        <w:rPr>
          <w:b w:val="1"/>
          <w:bCs w:val="1"/>
          <w:color w:val="b01010"/>
          <w:rtl w:val="0"/>
        </w:rPr>
        <w:t xml:space="preserve">FinExpert</w:t>
      </w:r>
      <w:r w:rsidDel="00000000" w:rsidR="00000000" w:rsidRPr="00000000">
        <w:rPr>
          <w:rtl w:val="0"/>
        </w:rPr>
        <w:t xml:space="preserve"> conjuga </w:t>
      </w:r>
      <w:r w:rsidDel="00000000" w:rsidR="00000000" w:rsidRPr="00000000">
        <w:rPr>
          <w:i w:val="1"/>
          <w:iCs w:val="1"/>
          <w:rtl w:val="0"/>
        </w:rPr>
        <w:t xml:space="preserve">Finance</w:t>
      </w:r>
      <w:r w:rsidDel="00000000" w:rsidR="00000000" w:rsidRPr="00000000">
        <w:rPr>
          <w:rtl w:val="0"/>
        </w:rPr>
        <w:t xml:space="preserve"> (finanzas) y </w:t>
      </w:r>
      <w:r w:rsidDel="00000000" w:rsidR="00000000" w:rsidRPr="00000000">
        <w:rPr>
          <w:i w:val="1"/>
          <w:iCs w:val="1"/>
          <w:rtl w:val="0"/>
        </w:rPr>
        <w:t xml:space="preserve">Expert</w:t>
      </w:r>
      <w:r w:rsidDel="00000000" w:rsidR="00000000" w:rsidRPr="00000000">
        <w:rPr>
          <w:rtl w:val="0"/>
        </w:rPr>
        <w:t xml:space="preserve"> (experto), reflejando la esencia del sistema: emular el razonamiento de un asesor financiero profesional para </w:t>
      </w:r>
      <w:r w:rsidDel="00000000" w:rsidR="00000000" w:rsidRPr="00000000">
        <w:rPr>
          <w:b w:val="1"/>
          <w:bCs w:val="1"/>
          <w:rtl w:val="0"/>
        </w:rPr>
        <w:t xml:space="preserve">diagnosticar</w:t>
      </w:r>
      <w:r w:rsidDel="00000000" w:rsidR="00000000" w:rsidRPr="00000000">
        <w:rPr>
          <w:rtl w:val="0"/>
        </w:rPr>
        <w:t xml:space="preserve"> la salud económica del usuario, </w:t>
      </w:r>
      <w:r w:rsidDel="00000000" w:rsidR="00000000" w:rsidRPr="00000000">
        <w:rPr>
          <w:b w:val="1"/>
          <w:bCs w:val="1"/>
          <w:rtl w:val="0"/>
        </w:rPr>
        <w:t xml:space="preserve">recomendar</w:t>
      </w:r>
      <w:r w:rsidDel="00000000" w:rsidR="00000000" w:rsidRPr="00000000">
        <w:rPr>
          <w:rtl w:val="0"/>
        </w:rPr>
        <w:t xml:space="preserve"> estrategias de ahorro, control de deudas e inversión, y </w:t>
      </w:r>
      <w:r w:rsidDel="00000000" w:rsidR="00000000" w:rsidRPr="00000000">
        <w:rPr>
          <w:b w:val="1"/>
          <w:bCs w:val="1"/>
          <w:rtl w:val="0"/>
        </w:rPr>
        <w:t xml:space="preserve">pronosticar</w:t>
      </w:r>
      <w:r w:rsidDel="00000000" w:rsidR="00000000" w:rsidRPr="00000000">
        <w:rPr>
          <w:rtl w:val="0"/>
        </w:rPr>
        <w:t xml:space="preserve"> escenarios futuros con base en sus hábitos y metas personales.</w:t>
      </w:r>
    </w:p>
    <w:p w:rsidR="00000000" w:rsidDel="00000000" w:rsidP="00000000" w:rsidRDefault="00000000" w:rsidRPr="00000000" w14:paraId="00000042">
      <w:pPr>
        <w:spacing w:after="100" w:lineRule="auto"/>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b.1)  Objetivo del Informe</w:t>
      </w:r>
    </w:p>
    <w:p w:rsidR="00000000" w:rsidDel="00000000" w:rsidP="00000000" w:rsidRDefault="00000000" w:rsidRPr="00000000" w14:paraId="00000044">
      <w:pPr>
        <w:spacing w:after="120" w:before="60" w:line="300" w:lineRule="auto"/>
        <w:jc w:val="both"/>
        <w:rPr/>
      </w:pPr>
      <w:r w:rsidDel="00000000" w:rsidR="00000000" w:rsidRPr="00000000">
        <w:rPr>
          <w:b w:val="1"/>
          <w:bCs w:val="1"/>
          <w:color w:val="b01010"/>
          <w:rtl w:val="0"/>
        </w:rPr>
        <w:t xml:space="preserve">¿Qué?  </w:t>
      </w:r>
      <w:r w:rsidDel="00000000" w:rsidR="00000000" w:rsidRPr="00000000">
        <w:rPr>
          <w:rtl w:val="0"/>
        </w:rPr>
        <w:t xml:space="preserve">Desarrollar FinExpert, un Sistema Basado en Conocimiento capaz de diagnosticar la situación financiera personal de un usuario, recomendar estrategias de ahorro, gestión de deudas e inversión, y pronosticar el comportamiento de sus finanzas a corto y mediano plazo, emulando el razonamiento de un asesor financiero experto.</w:t>
      </w:r>
    </w:p>
    <w:p w:rsidR="00000000" w:rsidDel="00000000" w:rsidP="00000000" w:rsidRDefault="00000000" w:rsidRPr="00000000" w14:paraId="00000045">
      <w:pPr>
        <w:spacing w:after="120" w:before="60" w:line="300" w:lineRule="auto"/>
        <w:jc w:val="both"/>
        <w:rPr/>
      </w:pPr>
      <w:r w:rsidDel="00000000" w:rsidR="00000000" w:rsidRPr="00000000">
        <w:rPr>
          <w:b w:val="1"/>
          <w:bCs w:val="1"/>
          <w:color w:val="b01010"/>
          <w:rtl w:val="0"/>
        </w:rPr>
        <w:t xml:space="preserve">¿Cómo?  </w:t>
      </w:r>
      <w:r w:rsidDel="00000000" w:rsidR="00000000" w:rsidRPr="00000000">
        <w:rPr>
          <w:rtl w:val="0"/>
        </w:rPr>
        <w:t xml:space="preserve">Mediante la construcción de una base de conocimiento conformada por reglas de producción (IF-THEN) extraídas de fuentes especializadas en finanzas personales y de la consulta con expertos del área, apoyada en un motor de inferencia con encadenamiento hacia adelante que guíe el diagnóstico y la recomendación de forma interactiva y personalizada.</w:t>
      </w:r>
    </w:p>
    <w:p w:rsidR="00000000" w:rsidDel="00000000" w:rsidP="00000000" w:rsidRDefault="00000000" w:rsidRPr="00000000" w14:paraId="00000046">
      <w:pPr>
        <w:spacing w:after="120" w:before="60" w:line="300" w:lineRule="auto"/>
        <w:jc w:val="both"/>
        <w:rPr/>
      </w:pPr>
      <w:r w:rsidDel="00000000" w:rsidR="00000000" w:rsidRPr="00000000">
        <w:rPr>
          <w:b w:val="1"/>
          <w:bCs w:val="1"/>
          <w:color w:val="b01010"/>
          <w:rtl w:val="0"/>
        </w:rPr>
        <w:t xml:space="preserve">¿Para qué?  </w:t>
      </w:r>
      <w:r w:rsidDel="00000000" w:rsidR="00000000" w:rsidRPr="00000000">
        <w:rPr>
          <w:rtl w:val="0"/>
        </w:rPr>
        <w:t xml:space="preserve">Para poner al alcance de cualquier persona —sin importar su nivel de educación financiera— un asesor virtual que le permita tomar decisiones informadas sobre su dinero, reducir el estrés económico y construir un patrimonio sólido a lo largo del tiempo, democratizando el acceso a asesoría financiera de calidad.</w:t>
      </w:r>
    </w:p>
    <w:p w:rsidR="00000000" w:rsidDel="00000000" w:rsidP="00000000" w:rsidRDefault="00000000" w:rsidRPr="00000000" w14:paraId="00000047">
      <w:pPr>
        <w:spacing w:after="100" w:lineRule="auto"/>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b.2)  Contexto y Justificación</w:t>
      </w:r>
    </w:p>
    <w:p w:rsidR="00000000" w:rsidDel="00000000" w:rsidP="00000000" w:rsidRDefault="00000000" w:rsidRPr="00000000" w14:paraId="00000049">
      <w:pPr>
        <w:spacing w:after="120" w:before="60" w:line="300" w:lineRule="auto"/>
        <w:jc w:val="both"/>
        <w:rPr/>
      </w:pPr>
      <w:r w:rsidDel="00000000" w:rsidR="00000000" w:rsidRPr="00000000">
        <w:rPr>
          <w:rtl w:val="0"/>
        </w:rPr>
        <w:t xml:space="preserve">En México, y particularmente en el estado de Hidalgo, la educación financiera representa uno de los principales retos para la población. Según la Encuesta Nacional de Inclusión Financiera (ENIF 2021), apenas el 39% de los adultos mexicanos lleva un registro de sus ingresos y gastos, y solo el 15% cuenta con algún producto de inversión formal. Esta realidad evidencia una brecha profunda entre las prácticas financieras saludables y el comportamiento económico cotidiano de la mayoría de las personas.</w:t>
      </w:r>
    </w:p>
    <w:p w:rsidR="00000000" w:rsidDel="00000000" w:rsidP="00000000" w:rsidRDefault="00000000" w:rsidRPr="00000000" w14:paraId="0000004A">
      <w:pPr>
        <w:spacing w:after="120" w:before="60" w:line="300" w:lineRule="auto"/>
        <w:jc w:val="both"/>
        <w:rPr/>
      </w:pPr>
      <w:r w:rsidDel="00000000" w:rsidR="00000000" w:rsidRPr="00000000">
        <w:rPr>
          <w:rtl w:val="0"/>
        </w:rPr>
        <w:t xml:space="preserve">Los Sistemas Basados en Conocimiento (SBC) ofrecen una alternativa tecnológica poderosa para cerrar esa brecha. A diferencia de una aplicación de cálculo convencional, un SBC emula el razonamiento de un experto humano —en este caso, un asesor financiero certificado— permitiendo que el sistema no solo procese datos numéricos, sino que </w:t>
      </w:r>
      <w:r w:rsidDel="00000000" w:rsidR="00000000" w:rsidRPr="00000000">
        <w:rPr>
          <w:b w:val="1"/>
          <w:bCs w:val="1"/>
          <w:rtl w:val="0"/>
        </w:rPr>
        <w:t xml:space="preserve">diagnostique</w:t>
      </w:r>
      <w:r w:rsidDel="00000000" w:rsidR="00000000" w:rsidRPr="00000000">
        <w:rPr>
          <w:rtl w:val="0"/>
        </w:rPr>
        <w:t xml:space="preserve"> situaciones complejas, </w:t>
      </w:r>
      <w:r w:rsidDel="00000000" w:rsidR="00000000" w:rsidRPr="00000000">
        <w:rPr>
          <w:b w:val="1"/>
          <w:bCs w:val="1"/>
          <w:rtl w:val="0"/>
        </w:rPr>
        <w:t xml:space="preserve">recomiende</w:t>
      </w:r>
      <w:r w:rsidDel="00000000" w:rsidR="00000000" w:rsidRPr="00000000">
        <w:rPr>
          <w:rtl w:val="0"/>
        </w:rPr>
        <w:t xml:space="preserve"> acciones específicas según el perfil del usuario y </w:t>
      </w:r>
      <w:r w:rsidDel="00000000" w:rsidR="00000000" w:rsidRPr="00000000">
        <w:rPr>
          <w:b w:val="1"/>
          <w:bCs w:val="1"/>
          <w:rtl w:val="0"/>
        </w:rPr>
        <w:t xml:space="preserve">pronostique</w:t>
      </w:r>
      <w:r w:rsidDel="00000000" w:rsidR="00000000" w:rsidRPr="00000000">
        <w:rPr>
          <w:rtl w:val="0"/>
        </w:rPr>
        <w:t xml:space="preserve"> el impacto de distintas decisiones financieras sobre su economía personal.</w:t>
      </w:r>
    </w:p>
    <w:p w:rsidR="00000000" w:rsidDel="00000000" w:rsidP="00000000" w:rsidRDefault="00000000" w:rsidRPr="00000000" w14:paraId="0000004B">
      <w:pPr>
        <w:spacing w:after="120" w:before="60" w:line="300" w:lineRule="auto"/>
        <w:jc w:val="both"/>
        <w:rPr/>
      </w:pPr>
      <w:r w:rsidDel="00000000" w:rsidR="00000000" w:rsidRPr="00000000">
        <w:rPr>
          <w:rtl w:val="0"/>
        </w:rPr>
        <w:t xml:space="preserve">La justificación del proyecto FinExpert se sustenta en tres pilares fundamentales: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80" w:before="60" w:line="290" w:lineRule="auto"/>
        <w:ind w:left="720" w:hanging="360"/>
        <w:jc w:val="both"/>
        <w:rPr/>
      </w:pPr>
      <w:r w:rsidDel="00000000" w:rsidR="00000000" w:rsidRPr="00000000">
        <w:rPr>
          <w:b w:val="1"/>
          <w:bCs w:val="1"/>
          <w:color w:val="b01010"/>
          <w:rtl w:val="0"/>
        </w:rPr>
        <w:t xml:space="preserve">Social: </w:t>
      </w:r>
      <w:r w:rsidDel="00000000" w:rsidR="00000000" w:rsidRPr="00000000">
        <w:rPr>
          <w:rtl w:val="0"/>
        </w:rPr>
        <w:t xml:space="preserve">democratizar el acceso a asesoría financiera de calidad, disponible las 24 horas, sin costo y en lenguaje accesible para cualquier tipo de usuario, independientemente de su nivel educativo o económico.</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80" w:before="60" w:line="290" w:lineRule="auto"/>
        <w:ind w:left="720" w:hanging="360"/>
        <w:jc w:val="both"/>
        <w:rPr/>
      </w:pPr>
      <w:r w:rsidDel="00000000" w:rsidR="00000000" w:rsidRPr="00000000">
        <w:rPr>
          <w:b w:val="1"/>
          <w:bCs w:val="1"/>
          <w:color w:val="b01010"/>
          <w:rtl w:val="0"/>
        </w:rPr>
        <w:t xml:space="preserve">Académico: </w:t>
      </w:r>
      <w:r w:rsidDel="00000000" w:rsidR="00000000" w:rsidRPr="00000000">
        <w:rPr>
          <w:rtl w:val="0"/>
        </w:rPr>
        <w:t xml:space="preserve">aplicar los fundamentos teóricos de los Sistemas Basados en Conocimiento —representación del conocimiento, motores de inferencia, adquisición del conocimiento— en un problema real y de alto impacto social dentro del contexto universitario de la UAEH.</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80" w:before="60" w:line="290" w:lineRule="auto"/>
        <w:ind w:left="720" w:hanging="360"/>
        <w:jc w:val="both"/>
        <w:rPr/>
      </w:pPr>
      <w:r w:rsidDel="00000000" w:rsidR="00000000" w:rsidRPr="00000000">
        <w:rPr>
          <w:b w:val="1"/>
          <w:bCs w:val="1"/>
          <w:color w:val="b01010"/>
          <w:rtl w:val="0"/>
        </w:rPr>
        <w:t xml:space="preserve">Tecnológico: </w:t>
      </w:r>
      <w:r w:rsidDel="00000000" w:rsidR="00000000" w:rsidRPr="00000000">
        <w:rPr>
          <w:rtl w:val="0"/>
        </w:rPr>
        <w:t xml:space="preserve">demostrar la viabilidad de construir un sistema experto funcional usando herramientas actuales de Inteligencia Artificial, contribuyendo al desarrollo tecnológico y académico de la región hidalguense.</w:t>
      </w:r>
    </w:p>
    <w:p w:rsidR="00000000" w:rsidDel="00000000" w:rsidP="00000000" w:rsidRDefault="00000000" w:rsidRPr="00000000" w14:paraId="0000004F">
      <w:pPr>
        <w:pStyle w:val="Heading1"/>
        <w:rPr/>
      </w:pPr>
      <w:r w:rsidDel="00000000" w:rsidR="00000000" w:rsidRPr="00000000">
        <w:rPr>
          <w:sz w:val="32"/>
          <w:szCs w:val="32"/>
          <w:rtl w:val="0"/>
        </w:rPr>
        <w:t xml:space="preserve">C)  Metodología</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sz w:val="28"/>
          <w:szCs w:val="28"/>
          <w:rtl w:val="0"/>
        </w:rPr>
        <w:t xml:space="preserve">Diseño del Sistema</w:t>
      </w:r>
      <w:r w:rsidDel="00000000" w:rsidR="00000000" w:rsidRPr="00000000">
        <w:rPr>
          <w:rtl w:val="0"/>
        </w:rPr>
      </w:r>
    </w:p>
    <w:p w:rsidR="00000000" w:rsidDel="00000000" w:rsidP="00000000" w:rsidRDefault="00000000" w:rsidRPr="00000000" w14:paraId="00000051">
      <w:pPr>
        <w:spacing w:after="120" w:before="60" w:line="276" w:lineRule="auto"/>
        <w:rPr/>
      </w:pPr>
      <w:r w:rsidDel="00000000" w:rsidR="00000000" w:rsidRPr="00000000">
        <w:rPr>
          <w:sz w:val="24"/>
          <w:szCs w:val="24"/>
          <w:rtl w:val="0"/>
        </w:rPr>
        <w:t xml:space="preserve">FinExpert adopta una arquitectura de tres capas clásica de los Sistemas Basados en Conocimiento, donde cada capa tiene responsabilidades claramente delimitadas y se comunica con las demás a través de interfaces definidas. Esta separación garantiza que el conocimiento del dominio pueda modificarse sin afectar la lógica de inferencia, y que la interfaz pueda rediseñarse sin alterar las reglas.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120" w:before="60" w:line="276" w:lineRule="auto"/>
        <w:rPr/>
      </w:pPr>
      <w:r w:rsidDel="00000000" w:rsidR="00000000" w:rsidRPr="00000000">
        <w:rPr>
          <w:sz w:val="24"/>
          <w:szCs w:val="24"/>
          <w:rtl w:val="0"/>
        </w:rPr>
        <w:t xml:space="preserve">La Capa de Presentación (Interfaz Web) es responsable de capturar los datos del usuario mediante un asistente paso a paso (wizard), presentar los diagnósticos y recomendaciones generados por el motor, y ofrecer explicaciones en lenguaje natural del razonamiento seguido por el sistema.</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120" w:before="60" w:line="276" w:lineRule="auto"/>
        <w:rPr/>
      </w:pPr>
      <w:r w:rsidDel="00000000" w:rsidR="00000000" w:rsidRPr="00000000">
        <w:rPr>
          <w:sz w:val="24"/>
          <w:szCs w:val="24"/>
          <w:rtl w:val="0"/>
        </w:rPr>
        <w:t xml:space="preserve">La Capa de Lógica de Negocio (Motor de Inferencia) implementa el ciclo Match-Select-Execute del algoritmo RETE simplificado. Recibe los hechos asertados por la interfaz, aplica las reglas de producción de la base de conocimiento y deposita los resultados en la memoria de trabajo para su presentación.</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120" w:before="60" w:line="276" w:lineRule="auto"/>
        <w:rPr/>
      </w:pPr>
      <w:r w:rsidDel="00000000" w:rsidR="00000000" w:rsidRPr="00000000">
        <w:rPr>
          <w:sz w:val="24"/>
          <w:szCs w:val="24"/>
          <w:rtl w:val="0"/>
        </w:rPr>
        <w:t xml:space="preserve">La Capa de Conocimiento (Base de Conocimiento) almacena las reglas de producción IF-THEN organizadas en seis dominios, la ontología financiera del sistema (vocabulario controlado y jerarquía de conceptos), y la base de hechos con los umbrales, rangos y constantes del dominio financiero mexicano.</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120" w:before="60" w:line="276" w:lineRule="auto"/>
        <w:rPr/>
      </w:pPr>
      <w:r w:rsidDel="00000000" w:rsidR="00000000" w:rsidRPr="00000000">
        <w:rPr>
          <w:sz w:val="24"/>
          <w:szCs w:val="24"/>
          <w:rtl w:val="0"/>
        </w:rPr>
        <w:t xml:space="preserve">Los componentes principales del sistema y su interacción se describen a continuación: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360"/>
        <w:gridCol w:w="2500"/>
        <w:tblGridChange w:id="0">
          <w:tblGrid>
            <w:gridCol w:w="3500"/>
            <w:gridCol w:w="3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color w:val="ffffff"/>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color w:val="ffffff"/>
                <w:rtl w:val="0"/>
              </w:rPr>
              <w:t xml:space="preserve">Responsabilidad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ffffff"/>
                <w:rtl w:val="0"/>
              </w:rPr>
              <w:t xml:space="preserve">Interactúa 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Wizard de captura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Recolectar perfil, ingresos, gastos y metas del usuario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Memoria de trabajo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t xml:space="preserve">Memoria de trabajo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Almacenar hechos del usuario y hechos derivados durante la sesión</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t xml:space="preserve">Motor de inferencia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Motor de inferencia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Ejecutar el ciclo Match-Select-Execute sobre las reglas activas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t xml:space="preserve">Base de conocimiento, Memoria de trabajo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t xml:space="preserve">Base de reglas</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Proveer las producciones IF-THEN con prioridad y factor de certeza</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Motor de inferencia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t xml:space="preserve">Base de hechos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Proveer umbrales, rangos y constantes del dominio financiero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Motor de inferencia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Módulo explicativo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t xml:space="preserve">Trazar la cadena de reglas disparadas y justificar cada recomendación</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t xml:space="preserve">Motor de inferencia, Interfaz</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t xml:space="preserve">Dashboard de resultados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t xml:space="preserve">Presentar el diagnóstico, recomendaciones y proyección a 6 meses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t xml:space="preserve">Módulo explicativo</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sz w:val="28"/>
          <w:szCs w:val="28"/>
          <w:rtl w:val="0"/>
        </w:rPr>
        <w:t xml:space="preserve">Herramientas y Tecnologías</w:t>
      </w:r>
      <w:r w:rsidDel="00000000" w:rsidR="00000000" w:rsidRPr="00000000">
        <w:rPr>
          <w:rtl w:val="0"/>
        </w:rPr>
      </w:r>
    </w:p>
    <w:p w:rsidR="00000000" w:rsidDel="00000000" w:rsidP="00000000" w:rsidRDefault="00000000" w:rsidRPr="00000000" w14:paraId="00000075">
      <w:pPr>
        <w:spacing w:after="120" w:before="60" w:line="276" w:lineRule="auto"/>
        <w:rPr/>
      </w:pPr>
      <w:r w:rsidDel="00000000" w:rsidR="00000000" w:rsidRPr="00000000">
        <w:rPr>
          <w:sz w:val="24"/>
          <w:szCs w:val="24"/>
          <w:rtl w:val="0"/>
        </w:rPr>
        <w:t xml:space="preserve">La elección tecnológica del proyecto privilegia herramientas de código abierto, ampliamente documentadas y con comunidades activas, de modo que el sistema pueda ser mantenido y extendido por el equipo sin dependencias comerciales.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60" w:before="200" w:lineRule="auto"/>
        <w:rPr/>
      </w:pPr>
      <w:r w:rsidDel="00000000" w:rsidR="00000000" w:rsidRPr="00000000">
        <w:rPr>
          <w:b w:val="1"/>
          <w:bCs w:val="1"/>
          <w:sz w:val="24"/>
          <w:szCs w:val="24"/>
          <w:rtl w:val="0"/>
        </w:rPr>
        <w:t xml:space="preserve">Back-end — Motor de Inferencia y Base de Conocimiento</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Lenguaje principal: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Python 3.11</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Biblioteca estándar: json, csv, unittest, logging.</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Seleccionado por su expresividad para modelar reglas y por la facilidad de representar la base de conocimiento como estructuras de datos nativas (listas de diccionarios).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Framework web ligero: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Flask 3.x</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Exposición de la lógica de inferencia como API REST (endpoints /diagnose y /explain).</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Permite desacoplar el motor del front-end y facilita la futura migración a aplicación móvil.</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Motor de inferencia: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Motor de inferencia propio (implementación RETE simplificada)</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Desarrollado desde cero en Python para cumplir el objetivo académico de comprender los mecanismos internos del sistema experto.</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No se utiliza un shell comercial (CLIPS, Jess) para garantizar la comprensión profunda del proceso de inferencia.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60" w:before="200" w:lineRule="auto"/>
        <w:rPr/>
      </w:pPr>
      <w:r w:rsidDel="00000000" w:rsidR="00000000" w:rsidRPr="00000000">
        <w:rPr>
          <w:b w:val="1"/>
          <w:bCs w:val="1"/>
          <w:sz w:val="24"/>
          <w:szCs w:val="24"/>
          <w:rtl w:val="0"/>
        </w:rPr>
        <w:t xml:space="preserve">Front-end — Interfaz Web</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Tecnologías base: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HTML5 + CSS3 + JavaScript (Vanilla JS)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Sin frameworks adicionales para mantener la complejidad técnica enfocada en el SBC.</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Diseño responsivo para compatibilidad con dispositivos móviles.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Visualización de datos: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Chart.js 4.x</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Generación del semáforo financiero y la gráfica de proyección a 6 meses.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Librería ligera (&lt; 60 KB) sin dependencias de back-end.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60" w:before="200" w:lineRule="auto"/>
        <w:rPr/>
      </w:pPr>
      <w:r w:rsidDel="00000000" w:rsidR="00000000" w:rsidRPr="00000000">
        <w:rPr>
          <w:b w:val="1"/>
          <w:bCs w:val="1"/>
          <w:sz w:val="24"/>
          <w:szCs w:val="24"/>
          <w:rtl w:val="0"/>
        </w:rPr>
        <w:t xml:space="preserve">Herramientas de Desarrollo y Control de Versiones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Control de versiones: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Git + GitHub</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Repositorio privado con ramas separadas para base-conocimiento (Mario) y motor-inferencia (Eduardo).</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Editor de código: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VS Code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Extensiones: Python, Pylance, REST Client para pruebas de la API.</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Pruebas de API: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Postman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Colección de peticiones para validar los endpoints del motor de inferencia.</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Pruebas unitarias: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pytest 8.x</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Suite de pruebas para cada regla de producción y para el ciclo completo de inferencia.</w:t>
      </w:r>
    </w:p>
    <w:p w:rsidR="00000000" w:rsidDel="00000000" w:rsidP="00000000" w:rsidRDefault="00000000" w:rsidRPr="00000000" w14:paraId="00000093">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1200"/>
        <w:gridCol w:w="3480"/>
        <w:tblGridChange w:id="0">
          <w:tblGrid>
            <w:gridCol w:w="2340"/>
            <w:gridCol w:w="2340"/>
            <w:gridCol w:w="120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color w:val="ffffff"/>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1"/>
                <w:bCs w:val="1"/>
                <w:color w:val="ffffff"/>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1"/>
                <w:bCs w:val="1"/>
                <w:color w:val="ffffff"/>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1"/>
                <w:bCs w:val="1"/>
                <w:color w:val="ffffff"/>
                <w:rtl w:val="0"/>
              </w:rPr>
              <w:t xml:space="preserve">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Back-end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Python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t xml:space="preserve">3.11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tl w:val="0"/>
              </w:rPr>
              <w:t xml:space="preserve">Motor de inferencia y gestión de reglas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t xml:space="preserve">Back-end</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tl w:val="0"/>
              </w:rPr>
              <w:t xml:space="preserve">Flask</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t xml:space="preserve">3.x</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tl w:val="0"/>
              </w:rPr>
              <w:t xml:space="preserve">API REST para la interfaz</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t xml:space="preserve">Front-end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t xml:space="preserve">HTML5 / CSS3 / JS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tl w:val="0"/>
              </w:rPr>
              <w:t xml:space="preserve">Interfaz de usuario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t xml:space="preserve">Front-end</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t xml:space="preserve">Chart.js</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t xml:space="preserve">4.x</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tl w:val="0"/>
              </w:rPr>
              <w:t xml:space="preserve">Visualizaciones y semáforo financiero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t xml:space="preserve">Pruebas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tl w:val="0"/>
              </w:rPr>
              <w:t xml:space="preserve">pytest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t xml:space="preserve">8.x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tl w:val="0"/>
              </w:rPr>
              <w:t xml:space="preserve">Pruebas unitarias de reglas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t xml:space="preserve">DevOps</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tl w:val="0"/>
              </w:rPr>
              <w:t xml:space="preserve">Git / GitHub</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tl w:val="0"/>
              </w:rPr>
              <w:t xml:space="preserve">Control de versiones colaborativo</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sz w:val="28"/>
          <w:szCs w:val="28"/>
          <w:rtl w:val="0"/>
        </w:rPr>
        <w:t xml:space="preserve">Proceso de Desarrollo</w:t>
      </w:r>
      <w:r w:rsidDel="00000000" w:rsidR="00000000" w:rsidRPr="00000000">
        <w:rPr>
          <w:rtl w:val="0"/>
        </w:rPr>
      </w:r>
    </w:p>
    <w:p w:rsidR="00000000" w:rsidDel="00000000" w:rsidP="00000000" w:rsidRDefault="00000000" w:rsidRPr="00000000" w14:paraId="000000B2">
      <w:pPr>
        <w:spacing w:after="120" w:before="60" w:line="276" w:lineRule="auto"/>
        <w:rPr/>
      </w:pPr>
      <w:r w:rsidDel="00000000" w:rsidR="00000000" w:rsidRPr="00000000">
        <w:rPr>
          <w:sz w:val="24"/>
          <w:szCs w:val="24"/>
          <w:rtl w:val="0"/>
        </w:rPr>
        <w:t xml:space="preserve">El proyecto sigue un ciclo de vida iterativo-incremental estructurado en cuatro fases. Dado el carácter académico de la entrega, cada fase produce artefactos concretos evaluables que documentan el avance.</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60" w:before="200" w:lineRule="auto"/>
        <w:rPr/>
      </w:pPr>
      <w:r w:rsidDel="00000000" w:rsidR="00000000" w:rsidRPr="00000000">
        <w:rPr>
          <w:b w:val="1"/>
          <w:bCs w:val="1"/>
          <w:sz w:val="24"/>
          <w:szCs w:val="24"/>
          <w:rtl w:val="0"/>
        </w:rPr>
        <w:t xml:space="preserve">Fase 1 — Adquisición del Conocimiento (semanas 1-3)</w:t>
      </w:r>
      <w:r w:rsidDel="00000000" w:rsidR="00000000" w:rsidRPr="00000000">
        <w:rPr>
          <w:rtl w:val="0"/>
        </w:rPr>
      </w:r>
    </w:p>
    <w:p w:rsidR="00000000" w:rsidDel="00000000" w:rsidP="00000000" w:rsidRDefault="00000000" w:rsidRPr="00000000" w14:paraId="000000B5">
      <w:pPr>
        <w:spacing w:after="120" w:before="60" w:line="276" w:lineRule="auto"/>
        <w:rPr/>
      </w:pPr>
      <w:r w:rsidDel="00000000" w:rsidR="00000000" w:rsidRPr="00000000">
        <w:rPr>
          <w:sz w:val="24"/>
          <w:szCs w:val="24"/>
          <w:rtl w:val="0"/>
        </w:rPr>
        <w:t xml:space="preserve">El objetivo de esta fase es extraer el conocimiento del dominio financiero y traducirlo a reglas de producción formales. Las actividades incluyen: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Revisión bibliográfica de fuentes especializadas en finanzas personales (ENIF 2021, CNBV, normativa CONDUSEF).</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Entrevistas semiestructuradas con un asesor financiero certificado para validar los umbrales y la lógica de decisión.</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Elaboración del glosario de conceptos financieros (ontología del dominio).</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Redacción del catálogo inicial de 80 reglas IF-THEN en lenguaje natural, previo a su formalización.</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60" w:before="200" w:lineRule="auto"/>
        <w:rPr/>
      </w:pPr>
      <w:r w:rsidDel="00000000" w:rsidR="00000000" w:rsidRPr="00000000">
        <w:rPr>
          <w:b w:val="1"/>
          <w:bCs w:val="1"/>
          <w:sz w:val="24"/>
          <w:szCs w:val="24"/>
          <w:rtl w:val="0"/>
        </w:rPr>
        <w:t xml:space="preserve">Fase 2 — Diseño y Representación del Conocimiento (semanas 4-6)</w:t>
      </w:r>
      <w:r w:rsidDel="00000000" w:rsidR="00000000" w:rsidRPr="00000000">
        <w:rPr>
          <w:rtl w:val="0"/>
        </w:rPr>
      </w:r>
    </w:p>
    <w:p w:rsidR="00000000" w:rsidDel="00000000" w:rsidP="00000000" w:rsidRDefault="00000000" w:rsidRPr="00000000" w14:paraId="000000BC">
      <w:pPr>
        <w:spacing w:after="120" w:before="60" w:line="276" w:lineRule="auto"/>
        <w:rPr/>
      </w:pPr>
      <w:r w:rsidDel="00000000" w:rsidR="00000000" w:rsidRPr="00000000">
        <w:rPr>
          <w:sz w:val="24"/>
          <w:szCs w:val="24"/>
          <w:rtl w:val="0"/>
        </w:rPr>
        <w:t xml:space="preserve">En esta fase se formalizan las reglas y se diseñan los componentes del sistema:</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Estructuración de la base de conocimiento en formato JSON con los campos: id, dominio, condiciones, conclusión, factor_certeza y prioridad.</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Diseño de la ontología financiera: jerarquía de conceptos, relaciones entre entidades y vocabulario controlado.</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Diseño de los diagramas de arquitectura (capas, ciclo de inferencia y dominios).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Prototipado de la interfaz web (wireframes de los 4 pasos del wizard y el dashboard).</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60" w:before="200" w:lineRule="auto"/>
        <w:rPr/>
      </w:pPr>
      <w:r w:rsidDel="00000000" w:rsidR="00000000" w:rsidRPr="00000000">
        <w:rPr>
          <w:b w:val="1"/>
          <w:bCs w:val="1"/>
          <w:sz w:val="24"/>
          <w:szCs w:val="24"/>
          <w:rtl w:val="0"/>
        </w:rPr>
        <w:t xml:space="preserve">Fase 3 — Implementación (semanas 7-11)</w:t>
      </w:r>
      <w:r w:rsidDel="00000000" w:rsidR="00000000" w:rsidRPr="00000000">
        <w:rPr>
          <w:rtl w:val="0"/>
        </w:rPr>
      </w:r>
    </w:p>
    <w:p w:rsidR="00000000" w:rsidDel="00000000" w:rsidP="00000000" w:rsidRDefault="00000000" w:rsidRPr="00000000" w14:paraId="000000C3">
      <w:pPr>
        <w:spacing w:after="120" w:before="60" w:line="276" w:lineRule="auto"/>
        <w:rPr/>
      </w:pPr>
      <w:r w:rsidDel="00000000" w:rsidR="00000000" w:rsidRPr="00000000">
        <w:rPr>
          <w:sz w:val="24"/>
          <w:szCs w:val="24"/>
          <w:rtl w:val="0"/>
        </w:rPr>
        <w:t xml:space="preserve">La implementación sigue el esquema de división de trabajo del equipo:</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Mario Ávila (Base de Conocimiento): codificación de las 80 reglas en JSON, implementación de la ontología y definición de la base de hechos con los umbrales financieros.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Eduardo Figueroa (Motor de Inferencia): implementación del ciclo Match-Select-Execute, gestión de la agenda, resolución de conflictos por prioridad y especificidad, y desarrollo del módulo explicativo.</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Integración: desarrollo de la API REST con Flask y conexión con la interfaz web.</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Implementación de la interfaz web: wizard de 4 pasos, dashboard de resultados y panel de explicaciones.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60" w:before="200" w:lineRule="auto"/>
        <w:rPr/>
      </w:pPr>
      <w:r w:rsidDel="00000000" w:rsidR="00000000" w:rsidRPr="00000000">
        <w:rPr>
          <w:b w:val="1"/>
          <w:bCs w:val="1"/>
          <w:sz w:val="24"/>
          <w:szCs w:val="24"/>
          <w:rtl w:val="0"/>
        </w:rPr>
        <w:t xml:space="preserve">Fase 4 — Verificación y Validación (semanas 12-14)</w:t>
      </w:r>
      <w:r w:rsidDel="00000000" w:rsidR="00000000" w:rsidRPr="00000000">
        <w:rPr>
          <w:rtl w:val="0"/>
        </w:rPr>
      </w:r>
    </w:p>
    <w:p w:rsidR="00000000" w:rsidDel="00000000" w:rsidP="00000000" w:rsidRDefault="00000000" w:rsidRPr="00000000" w14:paraId="000000CA">
      <w:pPr>
        <w:spacing w:after="120" w:before="60" w:line="276" w:lineRule="auto"/>
        <w:rPr/>
      </w:pPr>
      <w:r w:rsidDel="00000000" w:rsidR="00000000" w:rsidRPr="00000000">
        <w:rPr>
          <w:sz w:val="24"/>
          <w:szCs w:val="24"/>
          <w:rtl w:val="0"/>
        </w:rPr>
        <w:t xml:space="preserve">La fase de pruebas garantiza que el sistema produce diagnósticos correctos y que el motor de inferencia respeta la lógica definida:</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Pruebas unitarias de cada regla con pytest: se verifican los casos límite de cada condición IF.</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Pruebas de integración: se valida el comportamiento del motor ante escenarios financieros completos (perfil crítico, en riesgo y saludable).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Validación con el experto: presentación de los resultados al asesor financiero consultado para confirmar la corrección de los diagnósticos.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Corrección de inconsistencias y ajuste de factores de certeza según la retroalimentación recibida.</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sz w:val="32"/>
          <w:szCs w:val="32"/>
          <w:rtl w:val="0"/>
        </w:rPr>
        <w:t xml:space="preserve">D) Implementación</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sz w:val="28"/>
          <w:szCs w:val="28"/>
          <w:rtl w:val="0"/>
        </w:rPr>
        <w:t xml:space="preserve">Base de Conocimientos</w:t>
      </w:r>
      <w:r w:rsidDel="00000000" w:rsidR="00000000" w:rsidRPr="00000000">
        <w:rPr>
          <w:rtl w:val="0"/>
        </w:rPr>
      </w:r>
    </w:p>
    <w:p w:rsidR="00000000" w:rsidDel="00000000" w:rsidP="00000000" w:rsidRDefault="00000000" w:rsidRPr="00000000" w14:paraId="000000D3">
      <w:pPr>
        <w:spacing w:after="120" w:before="60" w:line="276" w:lineRule="auto"/>
        <w:rPr/>
      </w:pPr>
      <w:r w:rsidDel="00000000" w:rsidR="00000000" w:rsidRPr="00000000">
        <w:rPr>
          <w:sz w:val="24"/>
          <w:szCs w:val="24"/>
          <w:rtl w:val="0"/>
        </w:rPr>
        <w:t xml:space="preserve">La base de conocimiento de FinExpert constituye el repositorio central del saber experto del sistema. Su construcción siguió un proceso de tres etapas: adquisición, estructuración y validación.</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60" w:before="200" w:lineRule="auto"/>
        <w:rPr/>
      </w:pPr>
      <w:r w:rsidDel="00000000" w:rsidR="00000000" w:rsidRPr="00000000">
        <w:rPr>
          <w:b w:val="1"/>
          <w:bCs w:val="1"/>
          <w:sz w:val="24"/>
          <w:szCs w:val="24"/>
          <w:rtl w:val="0"/>
        </w:rPr>
        <w:t xml:space="preserve">Recopilación del Conocimiento</w:t>
      </w:r>
      <w:r w:rsidDel="00000000" w:rsidR="00000000" w:rsidRPr="00000000">
        <w:rPr>
          <w:rtl w:val="0"/>
        </w:rPr>
      </w:r>
    </w:p>
    <w:p w:rsidR="00000000" w:rsidDel="00000000" w:rsidP="00000000" w:rsidRDefault="00000000" w:rsidRPr="00000000" w14:paraId="000000D6">
      <w:pPr>
        <w:spacing w:after="120" w:before="60" w:line="276" w:lineRule="auto"/>
        <w:rPr/>
      </w:pPr>
      <w:r w:rsidDel="00000000" w:rsidR="00000000" w:rsidRPr="00000000">
        <w:rPr>
          <w:sz w:val="24"/>
          <w:szCs w:val="24"/>
          <w:rtl w:val="0"/>
        </w:rPr>
        <w:t xml:space="preserve">El conocimiento fue extraído de tres fuentes complementarias: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Fuentes documentales: la ENIF 2021 (CNBV/INEGI) aportó los indicadores de referencia del comportamiento financiero mexicano; la normativa de la CONDUSEF proporcionó los umbrales regulatorios de endeudamiento; y la bibliografía especializada (Giarratano y Riley, 2005; Russell y Norvig, 2021) definió los patrones de representación del conocimiento.</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Consulta con experto: se realizaron dos sesiones de entrevista con un asesor financiero certificado (CFP) para validar la lógica de los árboles de decisión, los umbrales de riesgo y la priorización de recomendaciones.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Revisión cruzada: los escenarios límite de cada regla fueron contrastados con casos reales anonimizados provistos por el experto para verificar que el sistema produce diagnósticos coherentes.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60" w:before="200" w:lineRule="auto"/>
        <w:rPr/>
      </w:pPr>
      <w:r w:rsidDel="00000000" w:rsidR="00000000" w:rsidRPr="00000000">
        <w:rPr>
          <w:b w:val="1"/>
          <w:bCs w:val="1"/>
          <w:sz w:val="24"/>
          <w:szCs w:val="24"/>
          <w:rtl w:val="0"/>
        </w:rPr>
        <w:t xml:space="preserve">Estructuración de la Base de Reglas</w:t>
      </w:r>
      <w:r w:rsidDel="00000000" w:rsidR="00000000" w:rsidRPr="00000000">
        <w:rPr>
          <w:rtl w:val="0"/>
        </w:rPr>
      </w:r>
    </w:p>
    <w:p w:rsidR="00000000" w:rsidDel="00000000" w:rsidP="00000000" w:rsidRDefault="00000000" w:rsidRPr="00000000" w14:paraId="000000DC">
      <w:pPr>
        <w:spacing w:after="120" w:before="60" w:line="276" w:lineRule="auto"/>
        <w:rPr/>
      </w:pPr>
      <w:r w:rsidDel="00000000" w:rsidR="00000000" w:rsidRPr="00000000">
        <w:rPr>
          <w:sz w:val="24"/>
          <w:szCs w:val="24"/>
          <w:rtl w:val="0"/>
        </w:rPr>
        <w:t xml:space="preserve">Las reglas de producción se almacenan en un archivo JSON con estructura estandarizada. Cada regla incluye los campos id, dominio, condiciones (lista de expresiones booleanas sobre variables de la memoria de trabajo), conclusion (hecho a asertar si todas las condiciones se cumplen), factor_certeza (entero 0-100 que expresa la confianza en la regla) y prioridad (entero 1-10 que la agenda usa para ordenar reglas activables). El siguiente fragmento ilustra la representación de dos reglas del dominio de diagnóstico:</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DF">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"id": "R01",</w:t>
      </w:r>
      <w:r w:rsidDel="00000000" w:rsidR="00000000" w:rsidRPr="00000000">
        <w:rPr>
          <w:rtl w:val="0"/>
        </w:rPr>
      </w:r>
    </w:p>
    <w:p w:rsidR="00000000" w:rsidDel="00000000" w:rsidP="00000000" w:rsidRDefault="00000000" w:rsidRPr="00000000" w14:paraId="000000E0">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"dominio": "diagnostico",</w:t>
      </w:r>
      <w:r w:rsidDel="00000000" w:rsidR="00000000" w:rsidRPr="00000000">
        <w:rPr>
          <w:rtl w:val="0"/>
        </w:rPr>
      </w:r>
    </w:p>
    <w:p w:rsidR="00000000" w:rsidDel="00000000" w:rsidP="00000000" w:rsidRDefault="00000000" w:rsidRPr="00000000" w14:paraId="000000E1">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"condiciones": [</w:t>
      </w:r>
      <w:r w:rsidDel="00000000" w:rsidR="00000000" w:rsidRPr="00000000">
        <w:rPr>
          <w:rtl w:val="0"/>
        </w:rPr>
      </w:r>
    </w:p>
    <w:p w:rsidR="00000000" w:rsidDel="00000000" w:rsidP="00000000" w:rsidRDefault="00000000" w:rsidRPr="00000000" w14:paraId="000000E2">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 "variable": "ratio_gasto_fijo", "operador": "&gt;", "valor": 0.70 }</w:t>
      </w:r>
      <w:r w:rsidDel="00000000" w:rsidR="00000000" w:rsidRPr="00000000">
        <w:rPr>
          <w:rtl w:val="0"/>
        </w:rPr>
      </w:r>
    </w:p>
    <w:p w:rsidR="00000000" w:rsidDel="00000000" w:rsidP="00000000" w:rsidRDefault="00000000" w:rsidRPr="00000000" w14:paraId="000000E3">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E4">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"conclusion": { "variable": "situacion", "valor": "critica" },</w:t>
      </w:r>
      <w:r w:rsidDel="00000000" w:rsidR="00000000" w:rsidRPr="00000000">
        <w:rPr>
          <w:rtl w:val="0"/>
        </w:rPr>
      </w:r>
    </w:p>
    <w:p w:rsidR="00000000" w:rsidDel="00000000" w:rsidP="00000000" w:rsidRDefault="00000000" w:rsidRPr="00000000" w14:paraId="000000E5">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"accion": "recomendar_control_gastos",</w:t>
      </w:r>
      <w:r w:rsidDel="00000000" w:rsidR="00000000" w:rsidRPr="00000000">
        <w:rPr>
          <w:rtl w:val="0"/>
        </w:rPr>
      </w:r>
    </w:p>
    <w:p w:rsidR="00000000" w:rsidDel="00000000" w:rsidP="00000000" w:rsidRDefault="00000000" w:rsidRPr="00000000" w14:paraId="000000E6">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"factor_certeza": 95,</w:t>
      </w:r>
      <w:r w:rsidDel="00000000" w:rsidR="00000000" w:rsidRPr="00000000">
        <w:rPr>
          <w:rtl w:val="0"/>
        </w:rPr>
      </w:r>
    </w:p>
    <w:p w:rsidR="00000000" w:rsidDel="00000000" w:rsidP="00000000" w:rsidRDefault="00000000" w:rsidRPr="00000000" w14:paraId="000000E7">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"prioridad": 10</w:t>
      </w:r>
      <w:r w:rsidDel="00000000" w:rsidR="00000000" w:rsidRPr="00000000">
        <w:rPr>
          <w:rtl w:val="0"/>
        </w:rPr>
      </w:r>
    </w:p>
    <w:p w:rsidR="00000000" w:rsidDel="00000000" w:rsidP="00000000" w:rsidRDefault="00000000" w:rsidRPr="00000000" w14:paraId="000000E8">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E9">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EA">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"id": "R02",</w:t>
      </w:r>
      <w:r w:rsidDel="00000000" w:rsidR="00000000" w:rsidRPr="00000000">
        <w:rPr>
          <w:rtl w:val="0"/>
        </w:rPr>
      </w:r>
    </w:p>
    <w:p w:rsidR="00000000" w:rsidDel="00000000" w:rsidP="00000000" w:rsidRDefault="00000000" w:rsidRPr="00000000" w14:paraId="000000EB">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"dominio": "diagnostico",</w:t>
      </w:r>
      <w:r w:rsidDel="00000000" w:rsidR="00000000" w:rsidRPr="00000000">
        <w:rPr>
          <w:rtl w:val="0"/>
        </w:rPr>
      </w:r>
    </w:p>
    <w:p w:rsidR="00000000" w:rsidDel="00000000" w:rsidP="00000000" w:rsidRDefault="00000000" w:rsidRPr="00000000" w14:paraId="000000EC">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"condiciones": [</w:t>
      </w:r>
      <w:r w:rsidDel="00000000" w:rsidR="00000000" w:rsidRPr="00000000">
        <w:rPr>
          <w:rtl w:val="0"/>
        </w:rPr>
      </w:r>
    </w:p>
    <w:p w:rsidR="00000000" w:rsidDel="00000000" w:rsidP="00000000" w:rsidRDefault="00000000" w:rsidRPr="00000000" w14:paraId="000000ED">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 "variable": "ratio_ahorro", "operador": "&lt;", "valor": 0.10 },</w:t>
      </w:r>
      <w:r w:rsidDel="00000000" w:rsidR="00000000" w:rsidRPr="00000000">
        <w:rPr>
          <w:rtl w:val="0"/>
        </w:rPr>
      </w:r>
    </w:p>
    <w:p w:rsidR="00000000" w:rsidDel="00000000" w:rsidP="00000000" w:rsidRDefault="00000000" w:rsidRPr="00000000" w14:paraId="000000EE">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 "variable": "situacion", "operador": "!=", "valor": "critica" }</w:t>
      </w:r>
      <w:r w:rsidDel="00000000" w:rsidR="00000000" w:rsidRPr="00000000">
        <w:rPr>
          <w:rtl w:val="0"/>
        </w:rPr>
      </w:r>
    </w:p>
    <w:p w:rsidR="00000000" w:rsidDel="00000000" w:rsidP="00000000" w:rsidRDefault="00000000" w:rsidRPr="00000000" w14:paraId="000000EF">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F0">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"conclusion": { "variable": "situacion", "valor": "en_riesgo" },</w:t>
      </w:r>
      <w:r w:rsidDel="00000000" w:rsidR="00000000" w:rsidRPr="00000000">
        <w:rPr>
          <w:rtl w:val="0"/>
        </w:rPr>
      </w:r>
    </w:p>
    <w:p w:rsidR="00000000" w:rsidDel="00000000" w:rsidP="00000000" w:rsidRDefault="00000000" w:rsidRPr="00000000" w14:paraId="000000F1">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"factor_certeza": 85,</w:t>
      </w:r>
      <w:r w:rsidDel="00000000" w:rsidR="00000000" w:rsidRPr="00000000">
        <w:rPr>
          <w:rtl w:val="0"/>
        </w:rPr>
      </w:r>
    </w:p>
    <w:p w:rsidR="00000000" w:rsidDel="00000000" w:rsidP="00000000" w:rsidRDefault="00000000" w:rsidRPr="00000000" w14:paraId="000000F2">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"prioridad": 8</w:t>
      </w:r>
      <w:r w:rsidDel="00000000" w:rsidR="00000000" w:rsidRPr="00000000">
        <w:rPr>
          <w:rtl w:val="0"/>
        </w:rPr>
      </w:r>
    </w:p>
    <w:p w:rsidR="00000000" w:rsidDel="00000000" w:rsidP="00000000" w:rsidRDefault="00000000" w:rsidRPr="00000000" w14:paraId="000000F3">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60" w:before="200" w:lineRule="auto"/>
        <w:rPr/>
      </w:pPr>
      <w:r w:rsidDel="00000000" w:rsidR="00000000" w:rsidRPr="00000000">
        <w:rPr>
          <w:b w:val="1"/>
          <w:bCs w:val="1"/>
          <w:sz w:val="24"/>
          <w:szCs w:val="24"/>
          <w:rtl w:val="0"/>
        </w:rPr>
        <w:t xml:space="preserve">Organización por Dominios</w:t>
      </w:r>
      <w:r w:rsidDel="00000000" w:rsidR="00000000" w:rsidRPr="00000000">
        <w:rPr>
          <w:rtl w:val="0"/>
        </w:rPr>
      </w:r>
    </w:p>
    <w:p w:rsidR="00000000" w:rsidDel="00000000" w:rsidP="00000000" w:rsidRDefault="00000000" w:rsidRPr="00000000" w14:paraId="000000F6">
      <w:pPr>
        <w:spacing w:after="120" w:before="60" w:line="276" w:lineRule="auto"/>
        <w:rPr/>
      </w:pPr>
      <w:r w:rsidDel="00000000" w:rsidR="00000000" w:rsidRPr="00000000">
        <w:rPr>
          <w:sz w:val="24"/>
          <w:szCs w:val="24"/>
          <w:rtl w:val="0"/>
        </w:rPr>
        <w:t xml:space="preserve">Las 80 reglas de la base de conocimiento se distribuyen en seis dominios temáticos, cada uno orientado a un aspecto específico de la salud financiera personal:</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tbl>
      <w:tblPr>
        <w:tblStyle w:val="Table3"/>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5"/>
        <w:gridCol w:w="962"/>
        <w:gridCol w:w="2857"/>
        <w:gridCol w:w="3396"/>
        <w:tblGridChange w:id="0">
          <w:tblGrid>
            <w:gridCol w:w="2245"/>
            <w:gridCol w:w="962"/>
            <w:gridCol w:w="2857"/>
            <w:gridCol w:w="339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b w:val="1"/>
                <w:bCs w:val="1"/>
                <w:color w:val="ffffff"/>
                <w:rtl w:val="0"/>
              </w:rPr>
              <w:t xml:space="preserve">Dominio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1"/>
                <w:bCs w:val="1"/>
                <w:color w:val="ffffff"/>
                <w:rtl w:val="0"/>
              </w:rPr>
              <w:t xml:space="preserve">Reglas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b w:val="1"/>
                <w:bCs w:val="1"/>
                <w:color w:val="ffffff"/>
                <w:rtl w:val="0"/>
              </w:rPr>
              <w:t xml:space="preserve">Variables clave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1"/>
                <w:bCs w:val="1"/>
                <w:color w:val="ffffff"/>
                <w:rtl w:val="0"/>
              </w:rPr>
              <w:t xml:space="preserve">Tipo de salida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Diagnóstico financiero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20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ratio_gasto_fijo, ratio_ahorro, ingreso_mensual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Semáforo de salud financiera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Análisis de deuda</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t xml:space="preserve">15</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DAI, deuda_total, tasa_promedio, num_creditos</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Nivel de endeudamiento y plan de pago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Estrategia de ahorro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t xml:space="preserve">15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t xml:space="preserve">fondo_emergencia, meta_ahorro, porcentaje_necesidades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Regla 50/30/20 personalizada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t xml:space="preserve">Perfil de riesgo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t xml:space="preserve">edad, horizonte_temporal, tolerancia_perdida</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t xml:space="preserve">Clasificación conservador/moderado/agresivo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Recomendación de inversión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perfil_riesgo, capital_disponible, plazo_inversion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Instrumentos financieros sugeridos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Pronóstico financiero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tendencia_gasto, meta_ahorro, meses_objetivo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Proyección a 6 meses con alertas</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60" w:before="200" w:lineRule="auto"/>
        <w:rPr/>
      </w:pPr>
      <w:r w:rsidDel="00000000" w:rsidR="00000000" w:rsidRPr="00000000">
        <w:rPr>
          <w:b w:val="1"/>
          <w:bCs w:val="1"/>
          <w:sz w:val="24"/>
          <w:szCs w:val="24"/>
          <w:rtl w:val="0"/>
        </w:rPr>
        <w:t xml:space="preserve">Base de Hechos: Umbrales y Constantes</w:t>
      </w:r>
      <w:r w:rsidDel="00000000" w:rsidR="00000000" w:rsidRPr="00000000">
        <w:rPr>
          <w:rtl w:val="0"/>
        </w:rPr>
      </w:r>
    </w:p>
    <w:p w:rsidR="00000000" w:rsidDel="00000000" w:rsidP="00000000" w:rsidRDefault="00000000" w:rsidRPr="00000000" w14:paraId="00000116">
      <w:pPr>
        <w:spacing w:after="120" w:before="60" w:line="276" w:lineRule="auto"/>
        <w:rPr/>
      </w:pPr>
      <w:r w:rsidDel="00000000" w:rsidR="00000000" w:rsidRPr="00000000">
        <w:rPr>
          <w:sz w:val="24"/>
          <w:szCs w:val="24"/>
          <w:rtl w:val="0"/>
        </w:rPr>
        <w:t xml:space="preserve">La base de hechos contiene los valores de referencia del dominio financiero mexicano que las condiciones de las reglas utilizan como parámetros: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Ratio de gasto fijo crítico: &gt; 70 % del ingreso neto mensual (CONDUSEF).</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c2c2c"/>
          <w:sz w:val="24"/>
          <w:szCs w:val="24"/>
          <w:u w:val="none"/>
          <w:shd w:fill="auto" w:val="clear"/>
          <w:vertAlign w:val="baseline"/>
          <w:rtl w:val="0"/>
        </w:rPr>
        <w:t xml:space="preserve">Ratio de ahorro mínimo saludable: ≥ 10 % del ingreso neto mensual.</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c2c2c"/>
          <w:sz w:val="24"/>
          <w:szCs w:val="24"/>
          <w:u w:val="none"/>
          <w:shd w:fill="auto" w:val="clear"/>
          <w:vertAlign w:val="baseline"/>
          <w:rtl w:val="0"/>
        </w:rPr>
        <w:t xml:space="preserve">Deuda sobre ingresos aceptable (DAI): ≤ 35 % del ingreso mensual bruto.</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Fondo de emergencia recomendado: entre 3 y 6 meses de gastos fijos.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Distribución 50/30/20: 50 % necesidades, 30 % deseos, 20 % ahorro e inversión.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Tasa de referencia CETES 28 días: actualizable desde la API de Banxico.</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sz w:val="28"/>
          <w:szCs w:val="28"/>
          <w:rtl w:val="0"/>
        </w:rPr>
        <w:t xml:space="preserve">Motor de Inferencia</w:t>
      </w:r>
      <w:r w:rsidDel="00000000" w:rsidR="00000000" w:rsidRPr="00000000">
        <w:rPr>
          <w:rtl w:val="0"/>
        </w:rPr>
      </w:r>
    </w:p>
    <w:p w:rsidR="00000000" w:rsidDel="00000000" w:rsidP="00000000" w:rsidRDefault="00000000" w:rsidRPr="00000000" w14:paraId="0000011F">
      <w:pPr>
        <w:spacing w:after="120" w:before="60" w:line="276" w:lineRule="auto"/>
        <w:rPr/>
      </w:pPr>
      <w:r w:rsidDel="00000000" w:rsidR="00000000" w:rsidRPr="00000000">
        <w:rPr>
          <w:sz w:val="24"/>
          <w:szCs w:val="24"/>
          <w:rtl w:val="0"/>
        </w:rPr>
        <w:t xml:space="preserve">El motor de inferencia de FinExpert implementa el paradigma de encadenamiento hacia adelante (forward chaining), partiendo de los hechos conocidos del usuario para derivar conclusiones hasta alcanzar el diagnóstico completo. La elección de encadenamiento hacia adelante responde a la naturaleza del problema: el flujo lógico va desde los datos (ingresos, gastos, deudas) hacia el diagnóstico y las recomendaciones, sin partir de una hipótesis previa.</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60" w:before="200" w:lineRule="auto"/>
        <w:rPr/>
      </w:pPr>
      <w:r w:rsidDel="00000000" w:rsidR="00000000" w:rsidRPr="00000000">
        <w:rPr>
          <w:b w:val="1"/>
          <w:bCs w:val="1"/>
          <w:sz w:val="24"/>
          <w:szCs w:val="24"/>
          <w:rtl w:val="0"/>
        </w:rPr>
        <w:t xml:space="preserve">Ciclo de Inferencia: Match-Select-Execute</w:t>
      </w:r>
      <w:r w:rsidDel="00000000" w:rsidR="00000000" w:rsidRPr="00000000">
        <w:rPr>
          <w:rtl w:val="0"/>
        </w:rPr>
      </w:r>
    </w:p>
    <w:p w:rsidR="00000000" w:rsidDel="00000000" w:rsidP="00000000" w:rsidRDefault="00000000" w:rsidRPr="00000000" w14:paraId="00000122">
      <w:pPr>
        <w:spacing w:after="120" w:before="60" w:line="276" w:lineRule="auto"/>
        <w:rPr/>
      </w:pPr>
      <w:r w:rsidDel="00000000" w:rsidR="00000000" w:rsidRPr="00000000">
        <w:rPr>
          <w:sz w:val="24"/>
          <w:szCs w:val="24"/>
          <w:rtl w:val="0"/>
        </w:rPr>
        <w:t xml:space="preserve">El motor ejecuta iterativamente tres fases en cada ciclo hasta que no existen reglas activables adicionales o se alcanza la meta de diagnóstico:</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Fase Match: el motor compara los hechos presentes en la memoria de trabajo contra las condiciones de cada regla de la base de conocimiento. Una regla es activable (se añade a la agenda) cuando la totalidad de sus condiciones IF se satisfacen con los hechos actuales. El algoritmo recorre la base de reglas aplicando evaluación de cortocircuito (short-circuit evaluation): si la primera condición de una regla falla, las condiciones restantes no se evalúan.</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Fase Select: cuando la agenda contiene más de una regla activable, el motor aplica la siguiente estrategia de resolución de conflictos: (1) Mayor prioridad numérica del campo prioridad; (2) Mayor especificidad de la regla, medida como el número de condiciones en la cláusula IF —una regla con tres condiciones es más específica que una con una sola condición y, por lo tanto, gana si tienen la misma prioridad numérica—; (3) En caso de empate total, se selecciona la regla con mayor factor de certeza.</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Fase Execute: la regla seleccionada se dispara: su conclusión se aserta como nuevo hecho en la memoria de trabajo (o actualiza el valor de un hecho existente), la acción asociada se registra en la lista de recomendaciones, y la regla disparada se elimina de la agenda. El ciclo reinicia desde la fase Match con la memoria de trabajo actualizada.</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60" w:before="200" w:lineRule="auto"/>
        <w:rPr/>
      </w:pPr>
      <w:r w:rsidDel="00000000" w:rsidR="00000000" w:rsidRPr="00000000">
        <w:rPr>
          <w:b w:val="1"/>
          <w:bCs w:val="1"/>
          <w:sz w:val="24"/>
          <w:szCs w:val="24"/>
          <w:rtl w:val="0"/>
        </w:rPr>
        <w:t xml:space="preserve">Módulo Explicativo</w:t>
      </w:r>
      <w:r w:rsidDel="00000000" w:rsidR="00000000" w:rsidRPr="00000000">
        <w:rPr>
          <w:rtl w:val="0"/>
        </w:rPr>
      </w:r>
    </w:p>
    <w:p w:rsidR="00000000" w:rsidDel="00000000" w:rsidP="00000000" w:rsidRDefault="00000000" w:rsidRPr="00000000" w14:paraId="00000129">
      <w:pPr>
        <w:spacing w:after="120" w:before="60" w:line="276" w:lineRule="auto"/>
        <w:rPr/>
      </w:pPr>
      <w:r w:rsidDel="00000000" w:rsidR="00000000" w:rsidRPr="00000000">
        <w:rPr>
          <w:sz w:val="24"/>
          <w:szCs w:val="24"/>
          <w:rtl w:val="0"/>
        </w:rPr>
        <w:t xml:space="preserve">El módulo explicativo es el componente que distingue a FinExpert de una calculadora financiera convencional. Durante cada ciclo de inferencia, el motor registra en una bitácora de trazabilidad el identificador de la regla disparada, los hechos que activaron sus condiciones, la conclusión derivada y el factor de certeza asociado. Cuando el usuario solicita la justificación de una recomendación (botón ¿Por qué?), el módulo recupera la cadena de reglas pertinente y la transforma en una explicación en lenguaje natural, por ejemplo:</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Diagnóstico: situación financiera CRÍTICA (certeza: 95 %)</w:t>
      </w:r>
      <w:r w:rsidDel="00000000" w:rsidR="00000000" w:rsidRPr="00000000">
        <w:rPr>
          <w:rtl w:val="0"/>
        </w:rPr>
      </w:r>
    </w:p>
    <w:p w:rsidR="00000000" w:rsidDel="00000000" w:rsidP="00000000" w:rsidRDefault="00000000" w:rsidRPr="00000000" w14:paraId="0000012C">
      <w:pPr>
        <w:pBdr>
          <w:left w:color="aaaaaa" w:space="0" w:sz="6" w:val="single"/>
        </w:pBdr>
        <w:shd w:fill="f5f5f5" w:val="clear"/>
        <w:ind w:left="360" w:firstLine="0"/>
        <w:rPr/>
      </w:pPr>
      <w:r w:rsidDel="00000000" w:rsidR="00000000" w:rsidRPr="00000000">
        <w:rPr>
          <w:rtl w:val="0"/>
        </w:rPr>
      </w:r>
    </w:p>
    <w:p w:rsidR="00000000" w:rsidDel="00000000" w:rsidP="00000000" w:rsidRDefault="00000000" w:rsidRPr="00000000" w14:paraId="0000012D">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Cadena de razonamiento:</w:t>
      </w:r>
      <w:r w:rsidDel="00000000" w:rsidR="00000000" w:rsidRPr="00000000">
        <w:rPr>
          <w:rtl w:val="0"/>
        </w:rPr>
      </w:r>
    </w:p>
    <w:p w:rsidR="00000000" w:rsidDel="00000000" w:rsidP="00000000" w:rsidRDefault="00000000" w:rsidRPr="00000000" w14:paraId="0000012E">
      <w:pPr>
        <w:pBdr>
          <w:left w:color="aaaaaa" w:space="0" w:sz="6" w:val="single"/>
        </w:pBdr>
        <w:shd w:fill="f5f5f5" w:val="clear"/>
        <w:ind w:left="360" w:firstLine="0"/>
        <w:rPr/>
      </w:pPr>
      <w:r w:rsidDel="00000000" w:rsidR="00000000" w:rsidRPr="00000000">
        <w:rPr>
          <w:rFonts w:ascii="Fira Mono" w:cs="Fira Mono" w:eastAsia="Fira Mono" w:hAnsi="Fira Mono"/>
          <w:color w:val="333333"/>
          <w:sz w:val="20"/>
          <w:szCs w:val="20"/>
          <w:rtl w:val="0"/>
        </w:rPr>
        <w:t xml:space="preserve">  R01 → Tus gastos fijos (72 %) superan el umbral crítico del 70 %.</w:t>
      </w:r>
      <w:r w:rsidDel="00000000" w:rsidR="00000000" w:rsidRPr="00000000">
        <w:rPr>
          <w:rtl w:val="0"/>
        </w:rPr>
      </w:r>
    </w:p>
    <w:p w:rsidR="00000000" w:rsidDel="00000000" w:rsidP="00000000" w:rsidRDefault="00000000" w:rsidRPr="00000000" w14:paraId="0000012F">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Regla aplicada: IF ratio_gasto_fijo &gt; 0.70 THEN situacion = "critica".</w:t>
      </w:r>
      <w:r w:rsidDel="00000000" w:rsidR="00000000" w:rsidRPr="00000000">
        <w:rPr>
          <w:rtl w:val="0"/>
        </w:rPr>
      </w:r>
    </w:p>
    <w:p w:rsidR="00000000" w:rsidDel="00000000" w:rsidP="00000000" w:rsidRDefault="00000000" w:rsidRPr="00000000" w14:paraId="00000130">
      <w:pPr>
        <w:pBdr>
          <w:left w:color="aaaaaa" w:space="0" w:sz="6" w:val="single"/>
        </w:pBdr>
        <w:shd w:fill="f5f5f5" w:val="clear"/>
        <w:ind w:left="360" w:firstLine="0"/>
        <w:rPr/>
      </w:pPr>
      <w:r w:rsidDel="00000000" w:rsidR="00000000" w:rsidRPr="00000000">
        <w:rPr>
          <w:rFonts w:ascii="Fira Mono" w:cs="Fira Mono" w:eastAsia="Fira Mono" w:hAnsi="Fira Mono"/>
          <w:color w:val="333333"/>
          <w:sz w:val="20"/>
          <w:szCs w:val="20"/>
          <w:rtl w:val="0"/>
        </w:rPr>
        <w:t xml:space="preserve">  R15 → Dado que tu situación es crítica y tu DAI es del 41 %,</w:t>
      </w:r>
      <w:r w:rsidDel="00000000" w:rsidR="00000000" w:rsidRPr="00000000">
        <w:rPr>
          <w:rtl w:val="0"/>
        </w:rPr>
      </w:r>
    </w:p>
    <w:p w:rsidR="00000000" w:rsidDel="00000000" w:rsidP="00000000" w:rsidRDefault="00000000" w:rsidRPr="00000000" w14:paraId="00000131">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se prioriza la reducción de deuda sobre cualquier inversión.</w:t>
      </w:r>
      <w:r w:rsidDel="00000000" w:rsidR="00000000" w:rsidRPr="00000000">
        <w:rPr>
          <w:rtl w:val="0"/>
        </w:rPr>
      </w:r>
    </w:p>
    <w:p w:rsidR="00000000" w:rsidDel="00000000" w:rsidP="00000000" w:rsidRDefault="00000000" w:rsidRPr="00000000" w14:paraId="00000132">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Regla aplicada: IF situacion = "critica" AND DAI &gt; 0.35</w:t>
      </w:r>
      <w:r w:rsidDel="00000000" w:rsidR="00000000" w:rsidRPr="00000000">
        <w:rPr>
          <w:rtl w:val="0"/>
        </w:rPr>
      </w:r>
    </w:p>
    <w:p w:rsidR="00000000" w:rsidDel="00000000" w:rsidP="00000000" w:rsidRDefault="00000000" w:rsidRPr="00000000" w14:paraId="00000133">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THEN prioridad = "pago_deuda".</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120" w:before="60" w:line="276" w:lineRule="auto"/>
        <w:rPr/>
      </w:pPr>
      <w:r w:rsidDel="00000000" w:rsidR="00000000" w:rsidRPr="00000000">
        <w:rPr>
          <w:sz w:val="24"/>
          <w:szCs w:val="24"/>
          <w:rtl w:val="0"/>
        </w:rPr>
        <w:t xml:space="preserve">Esta trazabilidad cumple dos funciones: pedagógica (educa al usuario sobre el razonamiento financiero) y de confianza (el usuario comprende por qué el sistema hace cada recomendación en lugar de recibirla como una caja negra).</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sz w:val="28"/>
          <w:szCs w:val="28"/>
          <w:rtl w:val="0"/>
        </w:rPr>
        <w:t xml:space="preserve">Interfaz de Usuario</w:t>
      </w:r>
      <w:r w:rsidDel="00000000" w:rsidR="00000000" w:rsidRPr="00000000">
        <w:rPr>
          <w:rtl w:val="0"/>
        </w:rPr>
      </w:r>
    </w:p>
    <w:p w:rsidR="00000000" w:rsidDel="00000000" w:rsidP="00000000" w:rsidRDefault="00000000" w:rsidRPr="00000000" w14:paraId="00000138">
      <w:pPr>
        <w:spacing w:after="120" w:before="60" w:line="276" w:lineRule="auto"/>
        <w:rPr/>
      </w:pPr>
      <w:r w:rsidDel="00000000" w:rsidR="00000000" w:rsidRPr="00000000">
        <w:rPr>
          <w:sz w:val="24"/>
          <w:szCs w:val="24"/>
          <w:rtl w:val="0"/>
        </w:rPr>
        <w:t xml:space="preserve">La interfaz web de FinExpert sigue el patrón de asistente por pasos (wizard), que guía al usuario desde la captura de datos hasta la presentación de resultados en una secuencia lineal y sin ambigüedades. El diseño prioriza la claridad sobre la complejidad visual, dado que el usuario objetivo puede tener un nivel bajo de educación financiera.</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60" w:before="200" w:lineRule="auto"/>
        <w:rPr/>
      </w:pPr>
      <w:r w:rsidDel="00000000" w:rsidR="00000000" w:rsidRPr="00000000">
        <w:rPr>
          <w:b w:val="1"/>
          <w:bCs w:val="1"/>
          <w:sz w:val="24"/>
          <w:szCs w:val="24"/>
          <w:rtl w:val="0"/>
        </w:rPr>
        <w:t xml:space="preserve">Paso 1 — Perfil básico</w:t>
      </w:r>
      <w:r w:rsidDel="00000000" w:rsidR="00000000" w:rsidRPr="00000000">
        <w:rPr>
          <w:rtl w:val="0"/>
        </w:rPr>
      </w:r>
    </w:p>
    <w:p w:rsidR="00000000" w:rsidDel="00000000" w:rsidP="00000000" w:rsidRDefault="00000000" w:rsidRPr="00000000" w14:paraId="0000013B">
      <w:pPr>
        <w:spacing w:after="120" w:before="60" w:line="276" w:lineRule="auto"/>
        <w:rPr/>
      </w:pPr>
      <w:r w:rsidDel="00000000" w:rsidR="00000000" w:rsidRPr="00000000">
        <w:rPr>
          <w:sz w:val="24"/>
          <w:szCs w:val="24"/>
          <w:rtl w:val="0"/>
        </w:rPr>
        <w:t xml:space="preserve">El usuario ingresa su edad, estado civil, número de personas a cargo y una autoevaluación de su nivel de educación financiera (escala de 1 a 5). Estos datos alimentan las reglas del dominio de perfil de riesgo y permiten al motor contextualizar las recomendaciones de inversión.</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60" w:before="200" w:lineRule="auto"/>
        <w:rPr/>
      </w:pPr>
      <w:r w:rsidDel="00000000" w:rsidR="00000000" w:rsidRPr="00000000">
        <w:rPr>
          <w:b w:val="1"/>
          <w:bCs w:val="1"/>
          <w:sz w:val="24"/>
          <w:szCs w:val="24"/>
          <w:rtl w:val="0"/>
        </w:rPr>
        <w:t xml:space="preserve">Paso 2 — Ingresos y gastos</w:t>
      </w:r>
      <w:r w:rsidDel="00000000" w:rsidR="00000000" w:rsidRPr="00000000">
        <w:rPr>
          <w:rtl w:val="0"/>
        </w:rPr>
      </w:r>
    </w:p>
    <w:p w:rsidR="00000000" w:rsidDel="00000000" w:rsidP="00000000" w:rsidRDefault="00000000" w:rsidRPr="00000000" w14:paraId="0000013E">
      <w:pPr>
        <w:spacing w:after="120" w:before="60" w:line="276" w:lineRule="auto"/>
        <w:rPr/>
      </w:pPr>
      <w:r w:rsidDel="00000000" w:rsidR="00000000" w:rsidRPr="00000000">
        <w:rPr>
          <w:sz w:val="24"/>
          <w:szCs w:val="24"/>
          <w:rtl w:val="0"/>
        </w:rPr>
        <w:t xml:space="preserve">El usuario registra su ingreso mensual neto y desglosa sus gastos en tres categorías: gastos fijos (renta, servicios, transporte, colegiaturas), gastos variables (alimentación, entretenimiento, ropa) y deudas activas (monto total, tasa de interés promedio, número de créditos y plazo restante). El sistema calcula automáticamente el ratio de gasto fijo, el DAI y el porcentaje disponible para ahorro, que se asertarán como hechos iniciales en la memoria de trabajo.</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60" w:before="200" w:lineRule="auto"/>
        <w:rPr/>
      </w:pPr>
      <w:r w:rsidDel="00000000" w:rsidR="00000000" w:rsidRPr="00000000">
        <w:rPr>
          <w:b w:val="1"/>
          <w:bCs w:val="1"/>
          <w:sz w:val="24"/>
          <w:szCs w:val="24"/>
          <w:rtl w:val="0"/>
        </w:rPr>
        <w:t xml:space="preserve">Paso 3 — Metas financieras</w:t>
      </w:r>
      <w:r w:rsidDel="00000000" w:rsidR="00000000" w:rsidRPr="00000000">
        <w:rPr>
          <w:rtl w:val="0"/>
        </w:rPr>
      </w:r>
    </w:p>
    <w:p w:rsidR="00000000" w:rsidDel="00000000" w:rsidP="00000000" w:rsidRDefault="00000000" w:rsidRPr="00000000" w14:paraId="00000141">
      <w:pPr>
        <w:spacing w:after="120" w:before="60" w:line="276" w:lineRule="auto"/>
        <w:rPr/>
      </w:pPr>
      <w:r w:rsidDel="00000000" w:rsidR="00000000" w:rsidRPr="00000000">
        <w:rPr>
          <w:sz w:val="24"/>
          <w:szCs w:val="24"/>
          <w:rtl w:val="0"/>
        </w:rPr>
        <w:t xml:space="preserve">El usuario selecciona su objetivo financiero principal (liquidar deudas, constituir un fondo de emergencia, ahorrar para una compra específica, comenzar a invertir o planificar el retiro), el horizonte temporal en meses y, en su caso, el monto objetivo. Estos datos activan las reglas del dominio de pronóstico y orientan las recomendaciones de los dominios de ahorro e inversión.</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60" w:before="200" w:lineRule="auto"/>
        <w:rPr/>
      </w:pPr>
      <w:r w:rsidDel="00000000" w:rsidR="00000000" w:rsidRPr="00000000">
        <w:rPr>
          <w:b w:val="1"/>
          <w:bCs w:val="1"/>
          <w:sz w:val="24"/>
          <w:szCs w:val="24"/>
          <w:rtl w:val="0"/>
        </w:rPr>
        <w:t xml:space="preserve">Paso 4 — Dashboard de resultados</w:t>
      </w:r>
      <w:r w:rsidDel="00000000" w:rsidR="00000000" w:rsidRPr="00000000">
        <w:rPr>
          <w:rtl w:val="0"/>
        </w:rPr>
      </w:r>
    </w:p>
    <w:p w:rsidR="00000000" w:rsidDel="00000000" w:rsidP="00000000" w:rsidRDefault="00000000" w:rsidRPr="00000000" w14:paraId="00000144">
      <w:pPr>
        <w:spacing w:after="120" w:before="60" w:line="276" w:lineRule="auto"/>
        <w:rPr/>
      </w:pPr>
      <w:r w:rsidDel="00000000" w:rsidR="00000000" w:rsidRPr="00000000">
        <w:rPr>
          <w:sz w:val="24"/>
          <w:szCs w:val="24"/>
          <w:rtl w:val="0"/>
        </w:rPr>
        <w:t xml:space="preserve">El dashboard presenta el diagnóstico del sistema organizado en cuatro secciones principales: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Semáforo de salud financiera: indicador visual (verde/amarillo/rojo) acompañado de una descripción en lenguaje accesible de la situación general del usuario y el nivel de certeza del diagnóstico.</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Tarjetas de recomendación: una tarjeta por dominio activo, con la acción recomendada, su justificación abreviada y un botón ¿Por qué? que despliega la cadena de inferencia completa del módulo explicativo.</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Proyección a 6 meses: gráfico de línea (Chart.js) que muestra la evolución esperada del ahorro acumulado si el usuario implementa las recomendaciones, comparada con el escenario actual sin cambios.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Panel de próximos pasos: lista ordenada por prioridad de las tres acciones más urgentes que el usuario debe tomar, con plazos sugeridos y los recursos financieros mexicanos relevantes (CONDUSEF, Banxico, plataformas de CETES directo).</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120" w:before="60" w:line="276" w:lineRule="auto"/>
        <w:rPr/>
      </w:pPr>
      <w:r w:rsidDel="00000000" w:rsidR="00000000" w:rsidRPr="00000000">
        <w:rPr>
          <w:sz w:val="24"/>
          <w:szCs w:val="24"/>
          <w:rtl w:val="0"/>
        </w:rPr>
        <w:t xml:space="preserve">Toda la interfaz está construida sin acceso a servidores externos: la lógica de inferencia se ejecuta localmente o mediante llamadas a la API Flask, y los datos del usuario no se almacenan de forma persistente, respetando la privacidad financiera del usuario.</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t xml:space="preserve">AVANCES:</w:t>
      </w:r>
      <w:r w:rsidDel="00000000" w:rsidR="00000000" w:rsidRPr="00000000">
        <w:drawing>
          <wp:anchor allowOverlap="1" behindDoc="1" distB="114300" distT="114300" distL="114300" distR="114300" hidden="0" layoutInCell="1" locked="0" relativeHeight="0" simplePos="0">
            <wp:simplePos x="0" y="0"/>
            <wp:positionH relativeFrom="column">
              <wp:posOffset>-609599</wp:posOffset>
            </wp:positionH>
            <wp:positionV relativeFrom="paragraph">
              <wp:posOffset>266700</wp:posOffset>
            </wp:positionV>
            <wp:extent cx="7005455" cy="3341254"/>
            <wp:effectExtent b="0" l="0" r="0" t="0"/>
            <wp:wrapNone/>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7005455" cy="3341254"/>
                    </a:xfrm>
                    <a:prstGeom prst="rect"/>
                    <a:ln/>
                  </pic:spPr>
                </pic:pic>
              </a:graphicData>
            </a:graphic>
          </wp:anchor>
        </w:drawing>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-542924</wp:posOffset>
            </wp:positionH>
            <wp:positionV relativeFrom="paragraph">
              <wp:posOffset>3526992</wp:posOffset>
            </wp:positionV>
            <wp:extent cx="5731200" cy="2552700"/>
            <wp:effectExtent b="0" l="0" r="0" t="0"/>
            <wp:wrapNone/>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5527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-542924</wp:posOffset>
            </wp:positionH>
            <wp:positionV relativeFrom="paragraph">
              <wp:posOffset>6236133</wp:posOffset>
            </wp:positionV>
            <wp:extent cx="5731200" cy="2590800"/>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590800"/>
                    </a:xfrm>
                    <a:prstGeom prst="rect"/>
                    <a:ln/>
                  </pic:spPr>
                </pic:pic>
              </a:graphicData>
            </a:graphic>
          </wp:anchor>
        </w:drawing>
      </w:r>
    </w:p>
    <w:p w:rsidR="00000000" w:rsidDel="00000000" w:rsidP="00000000" w:rsidRDefault="00000000" w:rsidRPr="00000000" w14:paraId="00000162">
      <w:pPr>
        <w:pageBreakBefore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179691</wp:posOffset>
            </wp:positionV>
            <wp:extent cx="5731200" cy="2578100"/>
            <wp:effectExtent b="0" l="0" r="0" t="0"/>
            <wp:wrapNone/>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578100"/>
                    </a:xfrm>
                    <a:prstGeom prst="rect"/>
                    <a:ln/>
                  </pic:spPr>
                </pic:pic>
              </a:graphicData>
            </a:graphic>
          </wp:anchor>
        </w:drawing>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170166</wp:posOffset>
            </wp:positionV>
            <wp:extent cx="5731200" cy="2514600"/>
            <wp:effectExtent b="0" l="0" r="0" t="0"/>
            <wp:wrapNone/>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514600"/>
                    </a:xfrm>
                    <a:prstGeom prst="rect"/>
                    <a:ln/>
                  </pic:spPr>
                </pic:pic>
              </a:graphicData>
            </a:graphic>
          </wp:anchor>
        </w:drawing>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rPr/>
      </w:pPr>
      <w:r w:rsidDel="00000000" w:rsidR="00000000" w:rsidRPr="00000000">
        <w:rPr>
          <w:rtl w:val="0"/>
        </w:rPr>
        <w:t xml:space="preserve">Z)  Referencias Bibliográficas (APA 7.ª ed.)</w:t>
      </w:r>
    </w:p>
    <w:p w:rsidR="00000000" w:rsidDel="00000000" w:rsidP="00000000" w:rsidRDefault="00000000" w:rsidRPr="00000000" w14:paraId="00000198">
      <w:pPr>
        <w:pBdr>
          <w:bottom w:color="b01010" w:space="1" w:sz="6" w:val="single"/>
        </w:pBdr>
        <w:spacing w:after="80" w:before="80" w:lineRule="auto"/>
        <w:rPr/>
      </w:pPr>
      <w:r w:rsidDel="00000000" w:rsidR="00000000" w:rsidRPr="00000000">
        <w:rPr>
          <w:rtl w:val="0"/>
        </w:rPr>
      </w:r>
    </w:p>
    <w:p w:rsidR="00000000" w:rsidDel="00000000" w:rsidP="00000000" w:rsidRDefault="00000000" w:rsidRPr="00000000" w14:paraId="00000199">
      <w:pPr>
        <w:spacing w:after="80" w:lineRule="auto"/>
        <w:rPr/>
      </w:pPr>
      <w:r w:rsidDel="00000000" w:rsidR="00000000" w:rsidRPr="00000000">
        <w:rPr>
          <w:rtl w:val="0"/>
        </w:rPr>
      </w:r>
    </w:p>
    <w:p w:rsidR="00000000" w:rsidDel="00000000" w:rsidP="00000000" w:rsidRDefault="00000000" w:rsidRPr="00000000" w14:paraId="0000019A">
      <w:pPr>
        <w:spacing w:after="100" w:before="60" w:line="280" w:lineRule="auto"/>
        <w:ind w:left="720" w:hanging="720"/>
        <w:jc w:val="both"/>
        <w:rPr/>
      </w:pPr>
      <w:r w:rsidDel="00000000" w:rsidR="00000000" w:rsidRPr="00000000">
        <w:rPr>
          <w:sz w:val="20"/>
          <w:szCs w:val="20"/>
          <w:rtl w:val="0"/>
        </w:rPr>
        <w:t xml:space="preserve">Comisión Nacional Bancaria y de Valores. (2021). Encuesta Nacional de Inclusión Financiera (ENIF) 2021. CNBV / INEGI. https://www.cnbv.gob.mx</w:t>
      </w:r>
      <w:r w:rsidDel="00000000" w:rsidR="00000000" w:rsidRPr="00000000">
        <w:rPr>
          <w:rtl w:val="0"/>
        </w:rPr>
      </w:r>
    </w:p>
    <w:p w:rsidR="00000000" w:rsidDel="00000000" w:rsidP="00000000" w:rsidRDefault="00000000" w:rsidRPr="00000000" w14:paraId="0000019B">
      <w:pPr>
        <w:spacing w:after="100" w:before="60" w:line="280" w:lineRule="auto"/>
        <w:ind w:left="720" w:hanging="720"/>
        <w:jc w:val="both"/>
        <w:rPr/>
      </w:pPr>
      <w:r w:rsidDel="00000000" w:rsidR="00000000" w:rsidRPr="00000000">
        <w:rPr>
          <w:sz w:val="20"/>
          <w:szCs w:val="20"/>
          <w:rtl w:val="0"/>
        </w:rPr>
        <w:t xml:space="preserve">Giarratano, J. C., &amp; Riley, G. D. (2005). Expert Systems: Principles and Programming (4.a ed.). Thomson Course Technology.</w:t>
      </w:r>
      <w:r w:rsidDel="00000000" w:rsidR="00000000" w:rsidRPr="00000000">
        <w:rPr>
          <w:rtl w:val="0"/>
        </w:rPr>
      </w:r>
    </w:p>
    <w:p w:rsidR="00000000" w:rsidDel="00000000" w:rsidP="00000000" w:rsidRDefault="00000000" w:rsidRPr="00000000" w14:paraId="0000019C">
      <w:pPr>
        <w:spacing w:after="100" w:before="60" w:line="280" w:lineRule="auto"/>
        <w:ind w:left="720" w:hanging="720"/>
        <w:jc w:val="both"/>
        <w:rPr/>
      </w:pPr>
      <w:r w:rsidDel="00000000" w:rsidR="00000000" w:rsidRPr="00000000">
        <w:rPr>
          <w:sz w:val="20"/>
          <w:szCs w:val="20"/>
          <w:rtl w:val="0"/>
        </w:rPr>
        <w:t xml:space="preserve">Hayes-Roth, F., Waterman, D. A., &amp; Lenat, D. B. (Eds.). (1983). Building Expert Systems. Addison-Wesley.</w:t>
      </w:r>
      <w:r w:rsidDel="00000000" w:rsidR="00000000" w:rsidRPr="00000000">
        <w:rPr>
          <w:rtl w:val="0"/>
        </w:rPr>
      </w:r>
    </w:p>
    <w:p w:rsidR="00000000" w:rsidDel="00000000" w:rsidP="00000000" w:rsidRDefault="00000000" w:rsidRPr="00000000" w14:paraId="0000019D">
      <w:pPr>
        <w:spacing w:after="100" w:before="60" w:line="280" w:lineRule="auto"/>
        <w:ind w:left="720" w:hanging="720"/>
        <w:jc w:val="both"/>
        <w:rPr/>
      </w:pPr>
      <w:r w:rsidDel="00000000" w:rsidR="00000000" w:rsidRPr="00000000">
        <w:rPr>
          <w:sz w:val="20"/>
          <w:szCs w:val="20"/>
          <w:rtl w:val="0"/>
        </w:rPr>
        <w:t xml:space="preserve">Luger, G. F. (2009). Artificial Intelligence: Structures and Strategies for Complex Problem Solving (6.a ed.). Addison-Wesley.</w:t>
      </w:r>
      <w:r w:rsidDel="00000000" w:rsidR="00000000" w:rsidRPr="00000000">
        <w:rPr>
          <w:rtl w:val="0"/>
        </w:rPr>
      </w:r>
    </w:p>
    <w:p w:rsidR="00000000" w:rsidDel="00000000" w:rsidP="00000000" w:rsidRDefault="00000000" w:rsidRPr="00000000" w14:paraId="0000019E">
      <w:pPr>
        <w:spacing w:after="100" w:before="60" w:line="280" w:lineRule="auto"/>
        <w:ind w:left="720" w:hanging="720"/>
        <w:jc w:val="both"/>
        <w:rPr/>
      </w:pPr>
      <w:r w:rsidDel="00000000" w:rsidR="00000000" w:rsidRPr="00000000">
        <w:rPr>
          <w:sz w:val="20"/>
          <w:szCs w:val="20"/>
          <w:rtl w:val="0"/>
        </w:rPr>
        <w:t xml:space="preserve">Nolo, R. T. (2020). Personal Finance for Dummies (9.a ed.). Wiley.</w:t>
      </w:r>
      <w:r w:rsidDel="00000000" w:rsidR="00000000" w:rsidRPr="00000000">
        <w:rPr>
          <w:rtl w:val="0"/>
        </w:rPr>
      </w:r>
    </w:p>
    <w:p w:rsidR="00000000" w:rsidDel="00000000" w:rsidP="00000000" w:rsidRDefault="00000000" w:rsidRPr="00000000" w14:paraId="0000019F">
      <w:pPr>
        <w:spacing w:after="100" w:before="60" w:line="280" w:lineRule="auto"/>
        <w:ind w:left="720" w:hanging="720"/>
        <w:jc w:val="both"/>
        <w:rPr/>
      </w:pPr>
      <w:r w:rsidDel="00000000" w:rsidR="00000000" w:rsidRPr="00000000">
        <w:rPr>
          <w:sz w:val="20"/>
          <w:szCs w:val="20"/>
          <w:rtl w:val="0"/>
        </w:rPr>
        <w:t xml:space="preserve">Ramírez Rodríguez, J. A. (2019). Finanzas personales: estrategias para el bienestar económico. Editorial Trillas.</w:t>
      </w:r>
      <w:r w:rsidDel="00000000" w:rsidR="00000000" w:rsidRPr="00000000">
        <w:rPr>
          <w:rtl w:val="0"/>
        </w:rPr>
      </w:r>
    </w:p>
    <w:p w:rsidR="00000000" w:rsidDel="00000000" w:rsidP="00000000" w:rsidRDefault="00000000" w:rsidRPr="00000000" w14:paraId="000001A0">
      <w:pPr>
        <w:spacing w:after="100" w:before="60" w:line="280" w:lineRule="auto"/>
        <w:ind w:left="720" w:hanging="720"/>
        <w:jc w:val="both"/>
        <w:rPr/>
      </w:pPr>
      <w:r w:rsidDel="00000000" w:rsidR="00000000" w:rsidRPr="00000000">
        <w:rPr>
          <w:sz w:val="20"/>
          <w:szCs w:val="20"/>
          <w:rtl w:val="0"/>
        </w:rPr>
        <w:t xml:space="preserve">Russell, S., &amp; Norvig, P. (2021). Artificial Intelligence: A Modern Approach (4.a ed.). Pearson Education.</w:t>
      </w:r>
      <w:r w:rsidDel="00000000" w:rsidR="00000000" w:rsidRPr="00000000">
        <w:rPr>
          <w:rtl w:val="0"/>
        </w:rPr>
      </w:r>
    </w:p>
    <w:p w:rsidR="00000000" w:rsidDel="00000000" w:rsidP="00000000" w:rsidRDefault="00000000" w:rsidRPr="00000000" w14:paraId="000001A1">
      <w:pPr>
        <w:spacing w:after="100" w:before="60" w:line="280" w:lineRule="auto"/>
        <w:ind w:left="720" w:hanging="720"/>
        <w:jc w:val="both"/>
        <w:rPr>
          <w:sz w:val="20"/>
          <w:szCs w:val="20"/>
        </w:rPr>
      </w:pPr>
      <w:r w:rsidDel="00000000" w:rsidR="00000000" w:rsidRPr="00000000">
        <w:rPr>
          <w:sz w:val="20"/>
          <w:szCs w:val="20"/>
          <w:rtl w:val="0"/>
        </w:rPr>
        <w:t xml:space="preserve">Turban, E., Sharda, R., &amp; Delen, D. (2011). Decision Support and Business Intelligence Systems (9.a Agreda, R. C. (2020). Uso de la inteligencia artificial como soporte a la toma de decisiones [Trabajo de investigación]. Universidad Peruana de Ciencias Aplicadas (UPC).</w:t>
      </w:r>
    </w:p>
    <w:p w:rsidR="00000000" w:rsidDel="00000000" w:rsidP="00000000" w:rsidRDefault="00000000" w:rsidRPr="00000000" w14:paraId="000001A2">
      <w:pPr>
        <w:spacing w:after="100" w:before="60" w:line="280" w:lineRule="auto"/>
        <w:ind w:left="720" w:hanging="720"/>
        <w:jc w:val="both"/>
        <w:rPr>
          <w:sz w:val="20"/>
          <w:szCs w:val="20"/>
        </w:rPr>
      </w:pPr>
      <w:r w:rsidDel="00000000" w:rsidR="00000000" w:rsidRPr="00000000">
        <w:rPr>
          <w:sz w:val="20"/>
          <w:szCs w:val="20"/>
          <w:rtl w:val="0"/>
        </w:rPr>
        <w:t xml:space="preserve">Contreras Castro, M. D., &amp; Gómez, A. (2018). Estado del arte de ingeniería en informática como programa académico y disciplina profesional. Revista Dialnet.</w:t>
      </w:r>
    </w:p>
    <w:p w:rsidR="00000000" w:rsidDel="00000000" w:rsidP="00000000" w:rsidRDefault="00000000" w:rsidRPr="00000000" w14:paraId="000001A3">
      <w:pPr>
        <w:spacing w:after="120" w:before="60" w:line="276" w:lineRule="auto"/>
        <w:rPr/>
      </w:pPr>
      <w:r w:rsidDel="00000000" w:rsidR="00000000" w:rsidRPr="00000000">
        <w:rPr>
          <w:sz w:val="20"/>
          <w:szCs w:val="20"/>
          <w:rtl w:val="0"/>
        </w:rPr>
        <w:t xml:space="preserve">Escamilla, et al. (2011). Sistemas basados en conocimiento: Una alternativa poco explorada en psicología. Journal of Behavior, Health &amp; Social Issues, 3(1), 5-20. SciELO México.ed.). Pearson Prentice Hall.</w:t>
        <w:br w:type="textWrapping"/>
        <w:br w:type="textWrapping"/>
      </w:r>
      <w:r w:rsidDel="00000000" w:rsidR="00000000" w:rsidRPr="00000000">
        <w:rPr>
          <w:sz w:val="24"/>
          <w:szCs w:val="24"/>
          <w:rtl w:val="0"/>
        </w:rPr>
        <w:t xml:space="preserve">Waterman, D. A. (1986). A Guide to Expert Systems. Addison-Wesley.</w:t>
      </w:r>
      <w:r w:rsidDel="00000000" w:rsidR="00000000" w:rsidRPr="00000000">
        <w:rPr>
          <w:rtl w:val="0"/>
        </w:rPr>
      </w:r>
    </w:p>
    <w:p w:rsidR="00000000" w:rsidDel="00000000" w:rsidP="00000000" w:rsidRDefault="00000000" w:rsidRPr="00000000" w14:paraId="000001A4">
      <w:pPr>
        <w:spacing w:after="100" w:before="60" w:line="280" w:lineRule="auto"/>
        <w:ind w:left="720" w:hanging="720"/>
        <w:jc w:val="both"/>
        <w:rPr/>
      </w:pPr>
      <w:r w:rsidDel="00000000" w:rsidR="00000000" w:rsidRPr="00000000">
        <w:rPr>
          <w:rtl w:val="0"/>
        </w:rPr>
      </w:r>
    </w:p>
    <w:p w:rsidR="00000000" w:rsidDel="00000000" w:rsidP="00000000" w:rsidRDefault="00000000" w:rsidRPr="00000000" w14:paraId="000001A5">
      <w:pPr>
        <w:spacing w:after="200" w:lineRule="auto"/>
        <w:rPr/>
      </w:pPr>
      <w:r w:rsidDel="00000000" w:rsidR="00000000" w:rsidRPr="00000000">
        <w:rPr>
          <w:rtl w:val="0"/>
        </w:rPr>
      </w:r>
    </w:p>
    <w:p w:rsidR="00000000" w:rsidDel="00000000" w:rsidP="00000000" w:rsidRDefault="00000000" w:rsidRPr="00000000" w14:paraId="000001A6">
      <w:pPr>
        <w:spacing w:before="80" w:lineRule="auto"/>
        <w:jc w:val="cente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sz w:val="22"/>
        <w:szCs w:val="22"/>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320" w:lineRule="auto"/>
    </w:pPr>
    <w:rPr>
      <w:b w:val="1"/>
      <w:bCs w:val="1"/>
      <w:color w:val="b0101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00" w:before="200" w:lineRule="auto"/>
    </w:pPr>
    <w:rPr>
      <w:b w:val="1"/>
      <w:bCs w:val="1"/>
      <w:color w:val="6b0e0e"/>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