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004B87"/>
          <w:sz w:val="40"/>
        </w:rPr>
        <w:t>AVA Fabric Agents — Relatório Executivo para POC (Setor Bancário)</w:t>
      </w:r>
    </w:p>
    <w:p>
      <w:pPr>
        <w:jc w:val="both"/>
      </w:pPr>
      <w:r>
        <w:rPr>
          <w:b/>
        </w:rPr>
        <w:t>Produto:</w:t>
      </w:r>
      <w:r>
        <w:t xml:space="preserve"> AVA Fabric Agents — Workflow de Agentes para Modernização de Legado </w:t>
      </w:r>
      <w:r>
        <w:rPr>
          <w:b/>
        </w:rPr>
        <w:t>Documento:</w:t>
      </w:r>
      <w:r>
        <w:t xml:space="preserve"> Dossiê técnico-comercial de POC </w:t>
      </w:r>
      <w:r>
        <w:rPr>
          <w:b/>
        </w:rPr>
        <w:t>Versão:</w:t>
      </w:r>
      <w:r>
        <w:t xml:space="preserve"> 1.0 </w:t>
      </w:r>
      <w:r>
        <w:rPr>
          <w:b/>
        </w:rPr>
        <w:t>Data:</w:t>
      </w:r>
      <w:r>
        <w:t xml:space="preserve"> 2026-08-20 </w:t>
      </w:r>
      <w:r>
        <w:rPr>
          <w:b/>
        </w:rPr>
        <w:t>Base de evidência:</w:t>
      </w:r>
      <w:r>
        <w:t xml:space="preserve"> execução real do projeto </w:t>
      </w:r>
      <w:r>
        <w:rPr>
          <w:rFonts w:ascii="Consolas" w:hAnsi="Consolas"/>
          <w:color w:val="8A2B2B"/>
          <w:sz w:val="18"/>
        </w:rPr>
        <w:t>nopcommerce-04</w:t>
      </w:r>
      <w:r>
        <w:t xml:space="preserve"> (18–19/08/2026), </w:t>
      </w:r>
      <w:r>
        <w:rPr>
          <w:rFonts w:ascii="Consolas" w:hAnsi="Consolas"/>
          <w:color w:val="8A2B2B"/>
          <w:sz w:val="18"/>
        </w:rPr>
        <w:t>projects/nopcommerce-04/outputs/</w:t>
      </w:r>
      <w:r>
        <w:t xml:space="preserve"> </w:t>
      </w:r>
      <w:r>
        <w:rPr>
          <w:b/>
        </w:rPr>
        <w:t>Classificação:</w:t>
      </w:r>
      <w:r>
        <w:t xml:space="preserve"> Uso interno / material de apresentação a cliente</w:t>
      </w:r>
    </w:p>
    <w:p>
      <w:pPr>
        <w:pBdr>
          <w:bottom w:val="single" w:sz="6" w:color="C9D2DD"/>
        </w:pBdr>
      </w:pPr>
    </w:p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0. Sumário Executivo</w:t>
      </w:r>
    </w:p>
    <w:p>
      <w:pPr>
        <w:jc w:val="both"/>
      </w:pPr>
      <w:r>
        <w:t xml:space="preserve">O AVA Fabric Agents é uma </w:t>
      </w:r>
      <w:r>
        <w:rPr>
          <w:b/>
        </w:rPr>
        <w:t>esteira industrial de modernização de sistemas legados</w:t>
      </w:r>
      <w:r>
        <w:t xml:space="preserve"> operada por </w:t>
      </w:r>
      <w:r>
        <w:rPr>
          <w:b/>
        </w:rPr>
        <w:t>110 agentes de IA especializados</w:t>
      </w:r>
      <w:r>
        <w:t xml:space="preserve">, organizados em </w:t>
      </w:r>
      <w:r>
        <w:rPr>
          <w:b/>
        </w:rPr>
        <w:t>9 fases sequenciais (F0 → F8)</w:t>
      </w:r>
      <w:r>
        <w:t xml:space="preserve"> com </w:t>
      </w:r>
      <w:r>
        <w:rPr>
          <w:b/>
        </w:rPr>
        <w:t>gates de qualidade bloqueantes</w:t>
      </w:r>
      <w:r>
        <w:t xml:space="preserve"> entre elas. O produto não é um "assistente de código": é um </w:t>
      </w:r>
      <w:r>
        <w:rPr>
          <w:b/>
        </w:rPr>
        <w:t>pipeline determinístico, auditável e retomável</w:t>
      </w:r>
      <w:r>
        <w:t xml:space="preserve">, que transforma um repositório legado em um </w:t>
      </w:r>
      <w:r>
        <w:rPr>
          <w:b/>
        </w:rPr>
        <w:t>pacote completo de modernização</w:t>
      </w:r>
      <w:r>
        <w:t xml:space="preserve"> — diagnóstico AS-IS, arquitetura TO-BE, especificações executáveis, backlog rastreável, código-fonte, IaC, evidências de teste e relatório de entrega.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KPIs do run de referência (</w:t>
      </w:r>
      <w:r>
        <w:rPr>
          <w:rFonts w:ascii="Segoe UI" w:hAnsi="Segoe UI"/>
          <w:color w:val="004B87"/>
          <w:sz w:val="18"/>
        </w:rPr>
        <w:t>nopcommerce-04</w:t>
      </w:r>
      <w:r>
        <w:rPr>
          <w:rFonts w:ascii="Segoe UI" w:hAnsi="Segoe UI"/>
          <w:color w:val="004B87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 medido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Base legada analisada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254.001 LOC</w:t>
            </w:r>
            <w:r>
              <w:rPr>
                <w:sz w:val="18"/>
              </w:rPr>
              <w:t xml:space="preserve"> · 1.731 arquivos · 1.998 classes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outputs/asis/metrics.json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Procedimentos/métodos mapeados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15.785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outputs/asis/metrics.json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Regras de negócio extraídas e catalogadas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436</w:t>
            </w:r>
            <w:r>
              <w:rPr>
                <w:sz w:val="18"/>
              </w:rPr>
              <w:t xml:space="preserve"> (de 561 candidatas; 125 rejeitadas por filtro)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asis/ast-raw/dotnet/brs/business_rules_catalog.json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Bounded Contexts identificados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outputs/asis/metrics.json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Tempo F0→F3S (diagnóstico → backlog executável)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4 h de execução de máquina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timestamps </w:t>
            </w:r>
            <w:r>
              <w:rPr>
                <w:rFonts w:ascii="Consolas" w:hAnsi="Consolas"/>
                <w:color w:val="8A2B2B"/>
                <w:sz w:val="18"/>
              </w:rPr>
              <w:t>outputs/pipeline_runner/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Artefatos gerados em disco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232 arquivos / 82 MB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execution-report_20260819_045834.md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Tasks de implementação geradas e rastreadas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394</w:t>
            </w:r>
            <w:r>
              <w:rPr>
                <w:sz w:val="18"/>
              </w:rPr>
              <w:t xml:space="preserve"> tasks · </w:t>
            </w:r>
            <w:r>
              <w:rPr>
                <w:b/>
                <w:sz w:val="18"/>
              </w:rPr>
              <w:t>2.991</w:t>
            </w:r>
            <w:r>
              <w:rPr>
                <w:sz w:val="18"/>
              </w:rPr>
              <w:t xml:space="preserve"> arestas de dependência · </w:t>
            </w:r>
            <w:r>
              <w:rPr>
                <w:b/>
                <w:sz w:val="18"/>
              </w:rPr>
              <w:t>15</w:t>
            </w:r>
            <w:r>
              <w:rPr>
                <w:sz w:val="18"/>
              </w:rPr>
              <w:t xml:space="preserve"> ondas topológicas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tobe/speckit/traceability.json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 SpecKit (F3S)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20/20 checks = 100%</w:t>
            </w:r>
            <w:r>
              <w:rPr>
                <w:sz w:val="18"/>
              </w:rPr>
              <w:t xml:space="preserve"> · 0 bloqueadores · 2 avisos LOW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tobe/speckit/compliance-status.json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Readiness Gate (F2→F3S)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92,5%</w:t>
            </w:r>
            <w:r>
              <w:rPr>
                <w:sz w:val="18"/>
              </w:rPr>
              <w:t xml:space="preserve"> (limite 85%) — APPROVED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readiness-gate/wave-1/readiness-gate-status.json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Esforço TO-BE estimado pelo pipeline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3.323 h</w:t>
            </w:r>
            <w:r>
              <w:rPr>
                <w:sz w:val="18"/>
              </w:rPr>
              <w:t xml:space="preserve"> · 892 FP · 1.606 SP · time de 8 pessoas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tobe/docs/effort-calculator.md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Mensagem central para o cliente bancário</w:t>
      </w:r>
    </w:p>
    <w:p>
      <w:pPr>
        <w:ind w:left="432"/>
        <w:pBdr>
          <w:left w:val="single" w:sz="18" w:space="8" w:color="004B87"/>
        </w:pBdr>
      </w:pPr>
      <w:r>
        <w:rPr>
          <w:i/>
          <w:color w:val="555F6D"/>
        </w:rPr>
        <w:t xml:space="preserve">Em </w:t>
      </w:r>
      <w:r>
        <w:rPr>
          <w:b/>
          <w:i/>
          <w:color w:val="555F6D"/>
        </w:rPr>
        <w:t>cerca de 4 horas de execução</w:t>
      </w:r>
      <w:r>
        <w:rPr>
          <w:i/>
          <w:color w:val="555F6D"/>
        </w:rPr>
        <w:t xml:space="preserve">, o produto converteu </w:t>
      </w:r>
      <w:r>
        <w:rPr>
          <w:b/>
          <w:i/>
          <w:color w:val="555F6D"/>
        </w:rPr>
        <w:t>254 mil linhas de código legado</w:t>
      </w:r>
      <w:r>
        <w:rPr>
          <w:i/>
          <w:color w:val="555F6D"/>
        </w:rPr>
        <w:t xml:space="preserve"> em um </w:t>
      </w:r>
      <w:r>
        <w:rPr>
          <w:b/>
          <w:i/>
          <w:color w:val="555F6D"/>
        </w:rPr>
        <w:t>plano de modernização auditável</w:t>
      </w:r>
      <w:r>
        <w:rPr>
          <w:i/>
          <w:color w:val="555F6D"/>
        </w:rPr>
        <w:t xml:space="preserve">: 10 bounded contexts, 8 ADRs, contratos OpenAPI, 436 regras de negócio catalogadas com rastreabilidade, 394 tasks de implementação com grafo de dependências acíclico e estimativa formal de 3.323 horas. Este é o trabalho que, em uma discovery tradicional, consome </w:t>
      </w:r>
      <w:r>
        <w:rPr>
          <w:b/>
          <w:i/>
          <w:color w:val="555F6D"/>
        </w:rPr>
        <w:t>6 a 10 semanas de squad</w:t>
      </w:r>
      <w:r>
        <w:rPr>
          <w:i/>
          <w:color w:val="555F6D"/>
        </w:rPr>
        <w:t>.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Recomendação</w:t>
      </w:r>
    </w:p>
    <w:p>
      <w:pPr>
        <w:jc w:val="both"/>
      </w:pPr>
      <w:r>
        <w:rPr>
          <w:b/>
        </w:rPr>
        <w:t>Executar a POC</w:t>
      </w:r>
      <w:r>
        <w:t xml:space="preserve"> com escopo de </w:t>
      </w:r>
      <w:r>
        <w:rPr>
          <w:b/>
        </w:rPr>
        <w:t>F0→F3S completo + F4 em um bounded context piloto</w:t>
      </w:r>
      <w:r>
        <w:t xml:space="preserve">, sobre um sistema de </w:t>
      </w:r>
      <w:r>
        <w:rPr>
          <w:b/>
        </w:rPr>
        <w:t>criticidade média</w:t>
      </w:r>
      <w:r>
        <w:t xml:space="preserve"> do banco. Esse recorte demonstra o valor máximo (compressão da discovery) com o menor risco (evita a fase menos madura em escala).</w:t>
      </w:r>
    </w:p>
    <w:p>
      <w:pPr>
        <w:pBdr>
          <w:bottom w:val="single" w:sz="6" w:color="C9D2DD"/>
        </w:pBdr>
      </w:pPr>
    </w:p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1. Maturidade do Produto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1.1 O que o produto 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Pipeline multiagente de modernização de legado (não é copiloto de IDE)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Modelo de execução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Orquestrador Python (</w:t>
            </w:r>
            <w:r>
              <w:rPr>
                <w:rFonts w:ascii="Consolas" w:hAnsi="Consolas"/>
                <w:color w:val="8A2B2B"/>
                <w:sz w:val="18"/>
              </w:rPr>
              <w:t>pipeline_runner.py</w:t>
            </w:r>
            <w:r>
              <w:rPr>
                <w:sz w:val="18"/>
              </w:rPr>
              <w:t>) + agentes declarativos em Markdown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Determinismo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Temperatura </w:t>
            </w:r>
            <w:r>
              <w:rPr>
                <w:b/>
                <w:sz w:val="18"/>
              </w:rPr>
              <w:t>0.0</w:t>
            </w:r>
            <w:r>
              <w:rPr>
                <w:sz w:val="18"/>
              </w:rPr>
              <w:t xml:space="preserve"> — execução determinística por design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Rastreabilidade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trace_id</w:t>
            </w:r>
            <w:r>
              <w:rPr>
                <w:sz w:val="18"/>
              </w:rPr>
              <w:t xml:space="preserve"> por execução · checksums de grafo · evidência por task (</w:t>
            </w:r>
            <w:r>
              <w:rPr>
                <w:rFonts w:ascii="Consolas" w:hAnsi="Consolas"/>
                <w:color w:val="8A2B2B"/>
                <w:sz w:val="18"/>
              </w:rPr>
              <w:t>exit_code</w:t>
            </w:r>
            <w:r>
              <w:rPr>
                <w:sz w:val="18"/>
              </w:rPr>
              <w:t>, log, timestamp)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Retomabilidade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Estado persistido em </w:t>
            </w:r>
            <w:r>
              <w:rPr>
                <w:rFonts w:ascii="Consolas" w:hAnsi="Consolas"/>
                <w:color w:val="8A2B2B"/>
                <w:sz w:val="18"/>
              </w:rPr>
              <w:t>runner-state.json</w:t>
            </w:r>
            <w:r>
              <w:rPr>
                <w:sz w:val="18"/>
              </w:rPr>
              <w:t>; o pipeline retoma da fase interrompida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Legados suportados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Delphi · VB6 · VB.NET · COBOL · PowerBuilder · .NET Framework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Stacks-alvo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.NET · Java/Spring Boot · Python/FastAPI · Go/Gin · NestJS · Angular · React · Blazor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Nuvens suportadas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Azure · AWS · GCP · Kubernetes nativo (Terraform)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1.2 Escala e composição da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Agentes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Gate de saída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AST Extraction (determinística, sem LLM)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— (tooling)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AS-IS Diagnostic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25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security_gate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TO-BE Architecture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readiness_gate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F3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Prototype (demo navegável)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F3S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SpecKit (constitution · specs · plans · tasks · compliance)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speckit-exit-gate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F4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Stack / Codegen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14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gate por task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QA &amp; Automação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F6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DevOps (IaC · CI/CD)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15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release_gate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Deliverables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F8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Summary consolidado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quality_gate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Transversal (master orchestrator)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110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 gates</w:t>
            </w:r>
          </w:p>
        </w:tc>
      </w:tr>
    </w:tbl>
    <w:p/>
    <w:p>
      <w:pPr>
        <w:jc w:val="both"/>
      </w:pPr>
      <w:r>
        <w:rPr>
          <w:i/>
        </w:rPr>
        <w:t>Fonte executável: `python src/shared/tools/agent_registry.py`.</w:t>
      </w:r>
    </w:p>
    <w:p>
      <w:pPr>
        <w:jc w:val="both"/>
      </w:pPr>
      <w:r>
        <w:t xml:space="preserve">Complementos de plataforma: </w:t>
      </w:r>
      <w:r>
        <w:rPr>
          <w:b/>
        </w:rPr>
        <w:t>238</w:t>
      </w:r>
      <w:r>
        <w:t xml:space="preserve"> definições de agente em Markdown, </w:t>
      </w:r>
      <w:r>
        <w:rPr>
          <w:b/>
        </w:rPr>
        <w:t>~1.460</w:t>
      </w:r>
      <w:r>
        <w:t xml:space="preserve"> módulos Python de suporte, </w:t>
      </w:r>
      <w:r>
        <w:rPr>
          <w:b/>
        </w:rPr>
        <w:t>39</w:t>
      </w:r>
      <w:r>
        <w:t xml:space="preserve"> suítes de teste automatizado, </w:t>
      </w:r>
      <w:r>
        <w:rPr>
          <w:b/>
        </w:rPr>
        <w:t>72</w:t>
      </w:r>
      <w:r>
        <w:t xml:space="preserve"> especificações internas versionadas (</w:t>
      </w:r>
      <w:r>
        <w:rPr>
          <w:rFonts w:ascii="Consolas" w:hAnsi="Consolas"/>
          <w:color w:val="8A2B2B"/>
          <w:sz w:val="18"/>
        </w:rPr>
        <w:t>specs/</w:t>
      </w:r>
      <w:r>
        <w:t xml:space="preserve">) e um CHANGELOG de </w:t>
      </w:r>
      <w:r>
        <w:rPr>
          <w:b/>
        </w:rPr>
        <w:t>210 KB</w:t>
      </w:r>
      <w:r>
        <w:t xml:space="preserve"> — indicando cadência de evolução alta e governança de mudança formal.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1.3 Matriz de maturidade por fase</w:t>
      </w:r>
    </w:p>
    <w:p>
      <w:pPr>
        <w:jc w:val="both"/>
      </w:pPr>
      <w:r>
        <w:t xml:space="preserve">Escala: </w:t>
      </w:r>
      <w:r>
        <w:rPr>
          <w:b/>
        </w:rPr>
        <w:t>GA</w:t>
      </w:r>
      <w:r>
        <w:t xml:space="preserve"> (produção, executado repetidamente com sucesso) · </w:t>
      </w:r>
      <w:r>
        <w:rPr>
          <w:b/>
        </w:rPr>
        <w:t>Beta</w:t>
      </w:r>
      <w:r>
        <w:t xml:space="preserve"> (funciona, com intervenção humana pontual) · </w:t>
      </w:r>
      <w:r>
        <w:rPr>
          <w:b/>
        </w:rPr>
        <w:t>Alpha</w:t>
      </w:r>
      <w:r>
        <w:t xml:space="preserve"> (implementado, pouco exercitado) · </w:t>
      </w:r>
      <w:r>
        <w:rPr>
          <w:b/>
        </w:rPr>
        <w:t>Roadmap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Maturidade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Evidência do run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Risco para POC bancária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F0 — AST Extraction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96 artefatos, 77 MB de AST bruto; extração determinística sem LLM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Baixo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F1 — AS-IS Diagnostic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Master report + inventário + DB + segurança + gaps/riscos concluídos em ~38 min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Baixo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F2 — TO-BE Architecture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8 ADRs, C4 completo, OpenAPI por BC, wave model, gate 92,5%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Baixo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F3 — Prototype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Protótipo navegável + design tokens + rastreabilidade de design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Baixo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F3S — SpecKit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 recente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20/20 checks; schemas v3/v4 estabilizados em 08/2026 (breaking changes recentes)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Médio</w:t>
            </w:r>
            <w:r>
              <w:rPr>
                <w:sz w:val="18"/>
              </w:rPr>
              <w:t xml:space="preserve"> — versão nova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F4 — Codegen .NET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Beta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249 arquivos gerados; </w:t>
            </w:r>
            <w:r>
              <w:rPr>
                <w:b/>
                <w:sz w:val="18"/>
              </w:rPr>
              <w:t>build falhou nas 2 tasks de scaffold</w:t>
            </w:r>
            <w:r>
              <w:rPr>
                <w:sz w:val="18"/>
              </w:rPr>
              <w:t xml:space="preserve"> (causas de configuração/ambiente)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Médio-Alto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F4 — Codegen outras stacks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Alpha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Spring Boot, FastAPI, Gin, NestJS marcados como 🚧 em </w:t>
            </w:r>
            <w:r>
              <w:rPr>
                <w:rFonts w:ascii="Consolas" w:hAnsi="Consolas"/>
                <w:color w:val="8A2B2B"/>
                <w:sz w:val="18"/>
              </w:rPr>
              <w:t>module.yaml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Alto</w:t>
            </w:r>
            <w:r>
              <w:rPr>
                <w:sz w:val="18"/>
              </w:rPr>
              <w:t xml:space="preserve"> — fora do escopo da POC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F5 — QA &amp; Automação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Beta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Orquestrador executado em F2c; plano de teste, casos e matriz funcional gerados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Médio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F6 — DevOps / IaC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Terraform de Wave 1 gerado (main/variables/outputs/modules + tfvars dev)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Médio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F7 — Deliverables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Beta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&amp; Compliance Report (33 KB) + sumário JSON gerados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Médio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F8 — Summary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HTML consolidado com </w:t>
            </w:r>
            <w:r>
              <w:rPr>
                <w:rFonts w:ascii="Consolas" w:hAnsi="Consolas"/>
                <w:color w:val="8A2B2B"/>
                <w:sz w:val="18"/>
              </w:rPr>
              <w:t>quality_gate</w:t>
            </w:r>
            <w:r>
              <w:rPr>
                <w:sz w:val="18"/>
              </w:rPr>
              <w:t xml:space="preserve"> de ~55 regras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Baixo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1.4 Engenharia de plataforma — o que sustenta a maturidade</w:t>
      </w:r>
    </w:p>
    <w:p>
      <w:pPr>
        <w:pStyle w:val="ListBullet"/>
      </w:pPr>
      <w:r>
        <w:rPr>
          <w:b/>
        </w:rPr>
        <w:t>Gates bloqueantes, não advisory</w:t>
      </w:r>
      <w:r>
        <w:t xml:space="preserve">: o </w:t>
      </w:r>
      <w:r>
        <w:rPr>
          <w:rFonts w:ascii="Consolas" w:hAnsi="Consolas"/>
          <w:color w:val="8A2B2B"/>
          <w:sz w:val="18"/>
        </w:rPr>
        <w:t>speckit-exit-gate</w:t>
      </w:r>
      <w:r>
        <w:t xml:space="preserve"> </w:t>
      </w:r>
      <w:r>
        <w:rPr>
          <w:b/>
        </w:rPr>
        <w:t>abortou</w:t>
      </w:r>
      <w:r>
        <w:t xml:space="preserve"> a execução quando as</w:t>
      </w:r>
    </w:p>
    <w:p>
      <w:pPr>
        <w:jc w:val="both"/>
      </w:pPr>
      <w:r>
        <w:t xml:space="preserve">pré-condições não foram satisfeitas (evidência: </w:t>
      </w:r>
      <w:r>
        <w:rPr>
          <w:rFonts w:ascii="Consolas" w:hAnsi="Consolas"/>
          <w:color w:val="8A2B2B"/>
          <w:sz w:val="18"/>
        </w:rPr>
        <w:t>execution-report_20260819_045834.md</w:t>
      </w:r>
      <w:r>
        <w:t xml:space="preserve">, 1 fase abortada). O pipeline </w:t>
      </w:r>
      <w:r>
        <w:rPr>
          <w:b/>
        </w:rPr>
        <w:t>para</w:t>
      </w:r>
      <w:r>
        <w:t xml:space="preserve"> em vez de produzir artefato inválido — comportamento essencial em ambiente regulado.</w:t>
      </w:r>
    </w:p>
    <w:p>
      <w:pPr>
        <w:pStyle w:val="ListBullet"/>
      </w:pPr>
      <w:r>
        <w:rPr>
          <w:b/>
        </w:rPr>
        <w:t>Contrato de artefato por fase</w:t>
      </w:r>
      <w:r>
        <w:t>: cada fase declara os arquivos que deve produzir e é validada</w:t>
      </w:r>
    </w:p>
    <w:p>
      <w:pPr>
        <w:jc w:val="both"/>
      </w:pPr>
      <w:r>
        <w:t xml:space="preserve">(coluna </w:t>
      </w:r>
      <w:r>
        <w:rPr>
          <w:rFonts w:ascii="Consolas" w:hAnsi="Consolas"/>
          <w:color w:val="8A2B2B"/>
          <w:sz w:val="18"/>
        </w:rPr>
        <w:t>Val</w:t>
      </w:r>
      <w:r>
        <w:t xml:space="preserve"> no relatório de execução).</w:t>
      </w:r>
    </w:p>
    <w:p>
      <w:pPr>
        <w:pStyle w:val="ListBullet"/>
      </w:pPr>
      <w:r>
        <w:rPr>
          <w:b/>
        </w:rPr>
        <w:t>Estado e retomada</w:t>
      </w:r>
      <w:r>
        <w:t xml:space="preserve">: </w:t>
      </w:r>
      <w:r>
        <w:rPr>
          <w:rFonts w:ascii="Consolas" w:hAnsi="Consolas"/>
          <w:color w:val="8A2B2B"/>
          <w:sz w:val="18"/>
        </w:rPr>
        <w:t>runner-state.json</w:t>
      </w:r>
      <w:r>
        <w:t xml:space="preserve"> com fases executadas/puladas/abortadas e métricas por</w:t>
      </w:r>
    </w:p>
    <w:p>
      <w:pPr>
        <w:jc w:val="both"/>
      </w:pPr>
      <w:r>
        <w:t>fase (tokens de entrada, tokens de resposta, % da janela de contexto, tempo, nº de artefatos).</w:t>
      </w:r>
    </w:p>
    <w:p>
      <w:pPr>
        <w:pStyle w:val="ListBullet"/>
      </w:pPr>
      <w:r>
        <w:rPr>
          <w:b/>
        </w:rPr>
        <w:t>Observabilidade</w:t>
      </w:r>
      <w:r>
        <w:t xml:space="preserve">: relatório de execução por run, </w:t>
      </w:r>
      <w:r>
        <w:rPr>
          <w:rFonts w:ascii="Consolas" w:hAnsi="Consolas"/>
          <w:color w:val="8A2B2B"/>
          <w:sz w:val="18"/>
        </w:rPr>
        <w:t>pipeline-status.html</w:t>
      </w:r>
      <w:r>
        <w:t xml:space="preserve"> ao vivo e log de geração</w:t>
      </w:r>
    </w:p>
    <w:p>
      <w:pPr>
        <w:jc w:val="both"/>
      </w:pPr>
      <w:r>
        <w:t>por stack (</w:t>
      </w:r>
      <w:r>
        <w:rPr>
          <w:rFonts w:ascii="Consolas" w:hAnsi="Consolas"/>
          <w:color w:val="8A2B2B"/>
          <w:sz w:val="18"/>
        </w:rPr>
        <w:t>GENERATION_LOG.md</w:t>
      </w:r>
      <w:r>
        <w:t>) com hipótese de causa raiz em caso de falha de build.</w:t>
      </w:r>
    </w:p>
    <w:p>
      <w:pPr>
        <w:pStyle w:val="ListBullet"/>
      </w:pPr>
      <w:r>
        <w:rPr>
          <w:b/>
        </w:rPr>
        <w:t>Gestão de janela de contexto</w:t>
      </w:r>
      <w:r>
        <w:t xml:space="preserve"> (</w:t>
      </w:r>
      <w:r>
        <w:rPr>
          <w:rFonts w:ascii="Consolas" w:hAnsi="Consolas"/>
          <w:color w:val="8A2B2B"/>
          <w:sz w:val="18"/>
        </w:rPr>
        <w:t>headroom</w:t>
      </w:r>
      <w:r>
        <w:t>): compressão de contexto por fase; no run, o codegen</w:t>
      </w:r>
    </w:p>
    <w:p>
      <w:pPr>
        <w:jc w:val="both"/>
      </w:pPr>
      <w:r>
        <w:t xml:space="preserve">operou a </w:t>
      </w:r>
      <w:r>
        <w:rPr>
          <w:b/>
        </w:rPr>
        <w:t>36,8%</w:t>
      </w:r>
      <w:r>
        <w:t xml:space="preserve"> de uma janela de 1 M tokens, com folga.</w:t>
      </w:r>
    </w:p>
    <w:p>
      <w:pPr>
        <w:pStyle w:val="ListBullet"/>
      </w:pPr>
      <w:r>
        <w:rPr>
          <w:b/>
        </w:rPr>
        <w:t>Governança de conteúdo</w:t>
      </w:r>
      <w:r>
        <w:t xml:space="preserve">: </w:t>
      </w:r>
      <w:r>
        <w:rPr>
          <w:rFonts w:ascii="Consolas" w:hAnsi="Consolas"/>
          <w:color w:val="8A2B2B"/>
          <w:sz w:val="18"/>
        </w:rPr>
        <w:t>constitution.md</w:t>
      </w:r>
      <w:r>
        <w:t xml:space="preserve"> por projeto — decisões arquiteturais que os agentes</w:t>
      </w:r>
    </w:p>
    <w:p>
      <w:pPr>
        <w:jc w:val="both"/>
      </w:pPr>
      <w:r>
        <w:t xml:space="preserve">das fases seguintes </w:t>
      </w:r>
      <w:r>
        <w:rPr>
          <w:b/>
        </w:rPr>
        <w:t>não podem contradizer</w:t>
      </w:r>
      <w:r>
        <w:t xml:space="preserve"> (check </w:t>
      </w:r>
      <w:r>
        <w:rPr>
          <w:rFonts w:ascii="Consolas" w:hAnsi="Consolas"/>
          <w:color w:val="8A2B2B"/>
          <w:sz w:val="18"/>
        </w:rPr>
        <w:t>CHK-SK-015</w:t>
      </w:r>
      <w:r>
        <w:t>).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1.5 Lacunas conhecidas (declaradas)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Lacuna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Mitigação para a POC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L1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Gate de build do F4 falhou em 100% das tasks de scaffold na 1ª passada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Código gerado exige correção humana antes de compilar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Piloto de F4 em 1 BC com dev sênior no loop; remediação assistida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L2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Codegen maduro apenas para .NET + Angular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Restringe stack-alvo da POC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Definir .NET 8 + Angular como alvo da POC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L3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SAST/DAST não executados no run (</w:t>
            </w:r>
            <w:r>
              <w:rPr>
                <w:rFonts w:ascii="Consolas" w:hAnsi="Consolas"/>
                <w:color w:val="8A2B2B"/>
                <w:sz w:val="18"/>
              </w:rPr>
              <w:t>PENDING</w:t>
            </w:r>
            <w:r>
              <w:rPr>
                <w:sz w:val="18"/>
              </w:rPr>
              <w:t>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 de segurança fica CONDITIONAL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Integrar SonarQube/DAST do banco no gate F6/F7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L4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Segurança AS-IS desabilitada no run (</w:t>
            </w:r>
            <w:r>
              <w:rPr>
                <w:rFonts w:ascii="Consolas" w:hAnsi="Consolas"/>
                <w:color w:val="8A2B2B"/>
                <w:sz w:val="18"/>
              </w:rPr>
              <w:t>security_enabled_asis: false</w:t>
            </w:r>
            <w:r>
              <w:rPr>
                <w:sz w:val="18"/>
              </w:rPr>
              <w:t>) → 9 artefatos ausentes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Sem threat model completo do legado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Habilitar </w:t>
            </w:r>
            <w:r>
              <w:rPr>
                <w:rFonts w:ascii="Consolas" w:hAnsi="Consolas"/>
                <w:color w:val="8A2B2B"/>
                <w:sz w:val="18"/>
              </w:rPr>
              <w:t>security_enabled_*: true</w:t>
            </w:r>
            <w:r>
              <w:rPr>
                <w:sz w:val="18"/>
              </w:rPr>
              <w:t xml:space="preserve"> na POC (obrigatório para banco)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L5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F3S sofreu breaking changes recentes (schemas v3/v4, 08/2026)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Risco de regressão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Congelar versão da plataforma para a POC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L6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Reexecuções observadas em F3S (constitution/planning repetidos)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Custo e tempo adicionais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Já endereçado no branch atual (</w:t>
            </w:r>
            <w:r>
              <w:rPr>
                <w:rFonts w:ascii="Consolas" w:hAnsi="Consolas"/>
                <w:color w:val="8A2B2B"/>
                <w:sz w:val="18"/>
              </w:rPr>
              <w:t>bugfix/speckit-phase-blocked</w:t>
            </w:r>
            <w:r>
              <w:rPr>
                <w:sz w:val="18"/>
              </w:rPr>
              <w:t>)</w:t>
            </w:r>
          </w:p>
        </w:tc>
      </w:tr>
    </w:tbl>
    <w:p/>
    <w:p>
      <w:pPr>
        <w:pBdr>
          <w:bottom w:val="single" w:sz="6" w:color="C9D2DD"/>
        </w:pBdr>
      </w:pPr>
    </w:p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2. Casos de Uso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2.1 Casos de uso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Fases envolvidas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Entregável-chave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UC-01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Discovery acelerada de legado</w:t>
            </w:r>
            <w:r>
              <w:rPr>
                <w:sz w:val="18"/>
              </w:rPr>
              <w:t xml:space="preserve"> — entender um sistema sem documentação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F0–F1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AS-IS Master Report, inventário, mapa de regras de negócio, ER diagram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UC-02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Assessment de risco e dívida técnica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risk-register.json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gap-register.json</w:t>
            </w:r>
            <w:r>
              <w:rPr>
                <w:sz w:val="18"/>
              </w:rPr>
              <w:t>, complexity map, god services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UC-03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Auditoria de segurança do legado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F1 (security)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OWASP coverage matrix, threat model STRIDE, vulnerabilities, compliance gaps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UC-04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Desenho de arquitetura TO-BE com ADRs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Blueprint, C4, bounded context map, 8 ADRs, OpenAPI por BC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UC-05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Estimativa formal e plano de ondas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Effort calculator (FP/SP/horas), wave model, migration plan, Gantt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UC-06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Protótipo navegável para validação com negócio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F3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HTML navegável + design tokens + rastreabilidade de tela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UC-07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Backlog executável e rastreável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F3S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394 tasks com </w:t>
            </w:r>
            <w:r>
              <w:rPr>
                <w:rFonts w:ascii="Consolas" w:hAnsi="Consolas"/>
                <w:color w:val="8A2B2B"/>
                <w:sz w:val="18"/>
              </w:rPr>
              <w:t>depends_on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verify_command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acceptance</w:t>
            </w:r>
            <w:r>
              <w:rPr>
                <w:sz w:val="18"/>
              </w:rPr>
              <w:t>, traceability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UC-08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Geração de código orientada a especificação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F4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Solução .NET modular + SPA Angular com build gate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UC-09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Plano e artefatos de QA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Test plan, casos de teste, matriz funcional, automação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UC-10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IaC e CI/CD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F6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Terraform por wave, pipelines, estimativa de custo de nuvem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UC-11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Pacote de entrega ao cliente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&amp; Compliance Report, tech docs, evidências, demo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UC-12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Modernização parcial (Strangler Fig)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F1–F6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Coexistence strategy + matriz de zonas de migração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2.2 Casos de uso priorizados para o banco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Caso de uso bancário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Por que se encaixa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Fases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Inventário e mapeamento de regras de negócio de core legado</w:t>
            </w:r>
            <w:r>
              <w:rPr>
                <w:sz w:val="18"/>
              </w:rPr>
              <w:t xml:space="preserve"> (crédito, cadastro, cobrança)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Bancos têm regras críticas embutidas em código sem documentação; F0/F1 extrai por AST (determinístico, não "alucinável")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F0–F1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Assessment regulatório e de segurança pré-modernização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Mapeia LGPD Arts. 46–50, OWASP, STRIDE e produz backlog de remediação assinável por CISO/DPO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F1, F7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Plano de modernização por ondas com estimativa defensável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Comitê de investimento exige número auditável: FP → SP → horas com overhead e contingência explícitos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Decomposição de "god services" em bounded contexts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Monolitos bancários concentram lógica; o produto identificou 2 god services e propôs decomposição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F1–F2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Backlog executável para squads internos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Entrega 394 tasks com dependências e critérios de aceite — consumível por squads do banco sem depender da IA para codar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F3S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Coexistência legado ↔ novo (Strangler Fig)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Bancos não fazem big bang; o produto entrega estratégia e matriz de coexistência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Codegen assistido em BC piloto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Demonstra aceleração de implementação com humano no loop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F4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2.3 Fora de escopo recomendado para a POC</w:t>
      </w:r>
    </w:p>
    <w:p>
      <w:pPr>
        <w:pStyle w:val="ListBullet"/>
      </w:pPr>
      <w:r>
        <w:t>Codegen em massa das 394 tasks (maturidade Beta — ver L1).</w:t>
      </w:r>
    </w:p>
    <w:p>
      <w:pPr>
        <w:pStyle w:val="ListBullet"/>
      </w:pPr>
      <w:r>
        <w:t>Stacks Java/Python/Go (Alpha).</w:t>
      </w:r>
    </w:p>
    <w:p>
      <w:pPr>
        <w:pStyle w:val="ListBullet"/>
      </w:pPr>
      <w:r>
        <w:t>Cutover produtivo ou migração de dados real.</w:t>
      </w:r>
    </w:p>
    <w:p>
      <w:pPr>
        <w:pStyle w:val="ListBullet"/>
      </w:pPr>
      <w:r>
        <w:t xml:space="preserve">Substituição do processo de homologação/segurança do banco — o produto </w:t>
      </w:r>
      <w:r>
        <w:rPr>
          <w:b/>
        </w:rPr>
        <w:t>alimenta</w:t>
      </w:r>
      <w:r>
        <w:t xml:space="preserve"> esses</w:t>
      </w:r>
    </w:p>
    <w:p>
      <w:pPr>
        <w:jc w:val="both"/>
      </w:pPr>
      <w:r>
        <w:t>processos, não os substitui.</w:t>
      </w:r>
    </w:p>
    <w:p>
      <w:pPr>
        <w:pBdr>
          <w:bottom w:val="single" w:sz="6" w:color="C9D2DD"/>
        </w:pBdr>
      </w:pPr>
    </w:p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3. Nível de Assertividade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3.1 Metodologia de medição</w:t>
      </w:r>
    </w:p>
    <w:p>
      <w:pPr>
        <w:jc w:val="both"/>
      </w:pPr>
      <w:r>
        <w:t>Assertividade não é medida por opinião. O produto instrumenta quatro indicadores objetivos: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Índice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Definição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ICA</w:t>
            </w:r>
            <w:r>
              <w:rPr>
                <w:sz w:val="18"/>
              </w:rPr>
              <w:t xml:space="preserve"> — Índice de Conformidade de Artefato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% de artefatos contratados pela fase que foram produzidos e validados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validação de contrato por fase (</w:t>
            </w:r>
            <w:r>
              <w:rPr>
                <w:rFonts w:ascii="Consolas" w:hAnsi="Consolas"/>
                <w:color w:val="8A2B2B"/>
                <w:sz w:val="18"/>
              </w:rPr>
              <w:t>Val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IGQ</w:t>
            </w:r>
            <w:r>
              <w:rPr>
                <w:sz w:val="18"/>
              </w:rPr>
              <w:t xml:space="preserve"> — Índice de Gate de Qualidade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Score do gate da fase vs. limite mínimo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*-status.json</w:t>
            </w:r>
            <w:r>
              <w:rPr>
                <w:sz w:val="18"/>
              </w:rPr>
              <w:t xml:space="preserve"> dos gates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IPE</w:t>
            </w:r>
            <w:r>
              <w:rPr>
                <w:sz w:val="18"/>
              </w:rPr>
              <w:t xml:space="preserve"> — Índice de Prontidão Executável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% de tasks cujo </w:t>
            </w:r>
            <w:r>
              <w:rPr>
                <w:rFonts w:ascii="Consolas" w:hAnsi="Consolas"/>
                <w:color w:val="8A2B2B"/>
                <w:sz w:val="18"/>
              </w:rPr>
              <w:t>verify_command</w:t>
            </w:r>
            <w:r>
              <w:rPr>
                <w:sz w:val="18"/>
              </w:rPr>
              <w:t xml:space="preserve"> retorna sucesso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tasks-state.json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8A2B2B"/>
                <w:sz w:val="18"/>
              </w:rPr>
              <w:t>GENERATION_LOG.md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IRA</w:t>
            </w:r>
            <w:r>
              <w:rPr>
                <w:sz w:val="18"/>
              </w:rPr>
              <w:t xml:space="preserve"> — Índice de Rastreabilidade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% de itens com origem declarada (</w:t>
            </w:r>
            <w:r>
              <w:rPr>
                <w:rFonts w:ascii="Consolas" w:hAnsi="Consolas"/>
                <w:color w:val="8A2B2B"/>
                <w:sz w:val="18"/>
              </w:rPr>
              <w:t>source_refs</w:t>
            </w:r>
            <w:r>
              <w:rPr>
                <w:sz w:val="18"/>
              </w:rPr>
              <w:t xml:space="preserve"> → artefato + âncora)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traceability.json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 xml:space="preserve">3.2 Assertividade geral (run </w:t>
      </w:r>
      <w:r>
        <w:rPr>
          <w:rFonts w:ascii="Segoe UI" w:hAnsi="Segoe UI"/>
          <w:color w:val="004B87"/>
          <w:sz w:val="18"/>
        </w:rPr>
        <w:t>nopcommerce-04</w:t>
      </w:r>
      <w:r>
        <w:rPr>
          <w:rFonts w:ascii="Segoe UI" w:hAnsi="Segoe UI"/>
          <w:color w:val="004B87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Índice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Leitura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ICA</w:t>
            </w:r>
            <w:r>
              <w:rPr>
                <w:sz w:val="18"/>
              </w:rPr>
              <w:t xml:space="preserve"> (F0–F4)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98%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Artefatos contratados foram produzidos e validados em todas as fases executadas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IGQ</w:t>
            </w:r>
            <w:r>
              <w:rPr>
                <w:sz w:val="18"/>
              </w:rPr>
              <w:t xml:space="preserve"> (média dos gates)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96%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Readiness 92,5% · SpecKit 100% · Security CONDITIONAL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IRA</w:t>
            </w:r>
            <w:r>
              <w:rPr>
                <w:sz w:val="18"/>
              </w:rPr>
              <w:t xml:space="preserve"> (F3S)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100%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100% das âncoras do manifesto cobertas (</w:t>
            </w:r>
            <w:r>
              <w:rPr>
                <w:rFonts w:ascii="Consolas" w:hAnsi="Consolas"/>
                <w:color w:val="8A2B2B"/>
                <w:sz w:val="18"/>
              </w:rPr>
              <w:t>CHK-SK-008</w:t>
            </w:r>
            <w:r>
              <w:rPr>
                <w:sz w:val="18"/>
              </w:rPr>
              <w:t xml:space="preserve">); 394/394 tasks com </w:t>
            </w:r>
            <w:r>
              <w:rPr>
                <w:rFonts w:ascii="Consolas" w:hAnsi="Consolas"/>
                <w:color w:val="8A2B2B"/>
                <w:sz w:val="18"/>
              </w:rPr>
              <w:t>source_refs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IPE</w:t>
            </w:r>
            <w:r>
              <w:rPr>
                <w:sz w:val="18"/>
              </w:rPr>
              <w:t xml:space="preserve"> (F4, 1ª passada)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0%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0 de 2 tasks de scaffold passaram no build gate — </w:t>
            </w:r>
            <w:r>
              <w:rPr>
                <w:b/>
                <w:sz w:val="18"/>
              </w:rPr>
              <w:t>principal lacuna</w:t>
            </w:r>
          </w:p>
        </w:tc>
      </w:tr>
    </w:tbl>
    <w:p/>
    <w:p>
      <w:pPr>
        <w:ind w:left="432"/>
        <w:pBdr>
          <w:left w:val="single" w:sz="18" w:space="8" w:color="004B87"/>
        </w:pBdr>
      </w:pPr>
      <w:r>
        <w:rPr>
          <w:b/>
          <w:i/>
          <w:color w:val="555F6D"/>
        </w:rPr>
        <w:t>Como apresentar ao cliente:</w:t>
      </w:r>
      <w:r>
        <w:rPr>
          <w:i/>
          <w:color w:val="555F6D"/>
        </w:rPr>
        <w:t xml:space="preserve"> o produto é </w:t>
      </w:r>
      <w:r>
        <w:rPr>
          <w:b/>
          <w:i/>
          <w:color w:val="555F6D"/>
        </w:rPr>
        <w:t>altamente assertivo em análise, arquitetura e planejamento</w:t>
      </w:r>
      <w:r>
        <w:rPr>
          <w:i/>
          <w:color w:val="555F6D"/>
        </w:rPr>
        <w:t xml:space="preserve"> (98–100%) e </w:t>
      </w:r>
      <w:r>
        <w:rPr>
          <w:b/>
          <w:i/>
          <w:color w:val="555F6D"/>
        </w:rPr>
        <w:t>parcialmente assertivo em geração de código executável</w:t>
      </w:r>
      <w:r>
        <w:rPr>
          <w:i/>
          <w:color w:val="555F6D"/>
        </w:rPr>
        <w:t xml:space="preserve"> (exige intervenção humana no gate de build). Essa é a leitura honesta — e é exatamente o que a POC deve testar.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3.3 Assertividade por fase executada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Métrica principal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F0</w:t>
            </w:r>
            <w:r>
              <w:rPr>
                <w:sz w:val="18"/>
              </w:rPr>
              <w:t xml:space="preserve"> — AST Extraction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Extração determinística concluída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15,7 MB de AST bruto; 1.731 arquivos varridos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F1</w:t>
            </w:r>
            <w:r>
              <w:rPr>
                <w:sz w:val="18"/>
              </w:rPr>
              <w:t xml:space="preserve"> — AS-IS Diagnostic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Artefatos de contrato produzidos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100%</w:t>
            </w:r>
            <w:r>
              <w:rPr>
                <w:sz w:val="18"/>
              </w:rPr>
              <w:t xml:space="preserve"> (96 artefatos)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master-report.md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metrics.json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risk-register.json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gap-register.json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F1</w:t>
            </w:r>
            <w:r>
              <w:rPr>
                <w:sz w:val="18"/>
              </w:rPr>
              <w:t xml:space="preserve"> — Precisão do catálogo de regras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77,7%</w:t>
            </w:r>
            <w:r>
              <w:rPr>
                <w:sz w:val="18"/>
              </w:rPr>
              <w:t xml:space="preserve"> de aceitação (436 aceitas / 561 candidatas)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125 candidatas </w:t>
            </w:r>
            <w:r>
              <w:rPr>
                <w:b/>
                <w:sz w:val="18"/>
              </w:rPr>
              <w:t>rejeitadas</w:t>
            </w:r>
            <w:r>
              <w:rPr>
                <w:sz w:val="18"/>
              </w:rPr>
              <w:t xml:space="preserve"> pelo filtro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business_rules_catalog.json</w:t>
            </w:r>
            <w:r>
              <w:rPr>
                <w:sz w:val="18"/>
              </w:rPr>
              <w:t xml:space="preserve"> — evidência de curadoria, não de erro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F2</w:t>
            </w:r>
            <w:r>
              <w:rPr>
                <w:sz w:val="18"/>
              </w:rPr>
              <w:t xml:space="preserve"> — TO-BE Architecture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Readiness Gate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92,5%</w:t>
            </w:r>
            <w:r>
              <w:rPr>
                <w:sz w:val="18"/>
              </w:rPr>
              <w:t xml:space="preserve"> (limite 85%) — APPROVED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11 critérios PASS, 1 CONDITIONAL (security architecture placeholder)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F3</w:t>
            </w:r>
            <w:r>
              <w:rPr>
                <w:sz w:val="18"/>
              </w:rPr>
              <w:t xml:space="preserve"> — Prototype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Protótipo + rastreabilidade de design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index.html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design-tokens.json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design-input-traceability.json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F3S</w:t>
            </w:r>
            <w:r>
              <w:rPr>
                <w:sz w:val="18"/>
              </w:rPr>
              <w:t xml:space="preserve"> — SpecKit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 gate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100%</w:t>
            </w:r>
            <w:r>
              <w:rPr>
                <w:sz w:val="18"/>
              </w:rPr>
              <w:t xml:space="preserve"> (20/20 checks)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0 bloqueadores; 2 avisos LOW não bloqueantes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F3S</w:t>
            </w:r>
            <w:r>
              <w:rPr>
                <w:sz w:val="18"/>
              </w:rPr>
              <w:t xml:space="preserve"> — Integridade do grafo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DAG acíclico validado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394 nós · 2.991 arestas · 15 ondas · checksum </w:t>
            </w:r>
            <w:r>
              <w:rPr>
                <w:rFonts w:ascii="Consolas" w:hAnsi="Consolas"/>
                <w:color w:val="8A2B2B"/>
                <w:sz w:val="18"/>
              </w:rPr>
              <w:t>5afcdbc9…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F4</w:t>
            </w:r>
            <w:r>
              <w:rPr>
                <w:sz w:val="18"/>
              </w:rPr>
              <w:t xml:space="preserve"> — Codegen (escrita)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Arquivos gerados conforme plano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100%</w:t>
            </w:r>
            <w:r>
              <w:rPr>
                <w:sz w:val="18"/>
              </w:rPr>
              <w:t xml:space="preserve"> (249 arquivos)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100 (Angular) + 149 (.NET)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F4</w:t>
            </w:r>
            <w:r>
              <w:rPr>
                <w:sz w:val="18"/>
              </w:rPr>
              <w:t xml:space="preserve"> — Codegen (build gate)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dotnet build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A2B2B"/>
                <w:sz w:val="18"/>
              </w:rPr>
              <w:t>ng build</w:t>
            </w:r>
            <w:r>
              <w:rPr>
                <w:sz w:val="18"/>
              </w:rPr>
              <w:t xml:space="preserve"> sem erro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0%</w:t>
            </w:r>
            <w:r>
              <w:rPr>
                <w:sz w:val="18"/>
              </w:rPr>
              <w:t xml:space="preserve"> (0/2)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exit_code</w:t>
            </w:r>
            <w:r>
              <w:rPr>
                <w:sz w:val="18"/>
              </w:rPr>
              <w:t xml:space="preserve"> 1 e 127 após 3 e 2 tentativas de remediação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F7</w:t>
            </w:r>
            <w:r>
              <w:rPr>
                <w:sz w:val="18"/>
              </w:rPr>
              <w:t xml:space="preserve"> — Security &amp; Compliance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Gate de compliance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CONDITIONAL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13/13 vulnerabilidades IN_PROGRESS; SAST/DAST PENDING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3.4 Desempenho medido (tempo de máquina)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Duração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F0 → F1 completo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38 min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7 agentes: orchestrator, inventory, solution, db-analyzer, documentation, security, gaps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F2 (TO-BE + DevOps + QA orchestrators)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29 min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3 orquestradores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F3 (Prototype)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8 min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F3S (constitution → tasks → compliance)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60 min</w:t>
            </w:r>
            <w:r>
              <w:rPr>
                <w:sz w:val="18"/>
              </w:rPr>
              <w:t xml:space="preserve"> (1ª passada)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5 specs, 3 plans, 3 task sets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F0 → F3S (backlog executável pronto)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2 h 20 min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18/08 12:36 → 14:57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F4 — scaffold Angular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434 s (7,2 min)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239.619 tokens in · 45.311 out · 36,8% da janela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F4 — scaffold .NET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701 s (11,7 min)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239.619 tokens in · 69.379 out · 36,8% da janela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3.5 Falhas observadas — causa raiz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Falha</w:t>
            </w:r>
          </w:p>
        </w:tc>
        <w:tc>
          <w:tcPr>
            <w:tcW w:type="dxa" w:w="195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95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Causa raiz</w:t>
            </w:r>
          </w:p>
        </w:tc>
        <w:tc>
          <w:tcPr>
            <w:tcW w:type="dxa" w:w="195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Natureza</w:t>
            </w:r>
          </w:p>
        </w:tc>
        <w:tc>
          <w:tcPr>
            <w:tcW w:type="dxa" w:w="195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Corrigível?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ng build</w:t>
            </w:r>
            <w:r>
              <w:rPr>
                <w:sz w:val="18"/>
              </w:rPr>
              <w:t xml:space="preserve"> falhou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exit </w:t>
            </w:r>
            <w:r>
              <w:rPr>
                <w:b/>
                <w:sz w:val="18"/>
              </w:rPr>
              <w:t>127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Comando </w:t>
            </w:r>
            <w:r>
              <w:rPr>
                <w:rFonts w:ascii="Consolas" w:hAnsi="Consolas"/>
                <w:color w:val="8A2B2B"/>
                <w:sz w:val="18"/>
              </w:rPr>
              <w:t>ng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não encontrado no host</w:t>
            </w:r>
            <w:r>
              <w:rPr>
                <w:sz w:val="18"/>
              </w:rPr>
              <w:t xml:space="preserve"> — Angular CLI não instalado no ambiente de execução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Ambiente</w:t>
            </w:r>
            <w:r>
              <w:rPr>
                <w:sz w:val="18"/>
              </w:rPr>
              <w:t>, não geração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Sim</w:t>
            </w:r>
            <w:r>
              <w:rPr>
                <w:sz w:val="18"/>
              </w:rPr>
              <w:t xml:space="preserve"> — preparar imagem de execução com toolchain</w:t>
            </w:r>
          </w:p>
        </w:tc>
      </w:tr>
      <w:tr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dotnet build</w:t>
            </w:r>
            <w:r>
              <w:rPr>
                <w:sz w:val="18"/>
              </w:rPr>
              <w:t xml:space="preserve"> falhou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4× </w:t>
            </w:r>
            <w:r>
              <w:rPr>
                <w:b/>
                <w:sz w:val="18"/>
              </w:rPr>
              <w:t>NU1008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Central Package Management ativo (</w:t>
            </w:r>
            <w:r>
              <w:rPr>
                <w:rFonts w:ascii="Consolas" w:hAnsi="Consolas"/>
                <w:color w:val="8A2B2B"/>
                <w:sz w:val="18"/>
              </w:rPr>
              <w:t>Directory.Packages.props</w:t>
            </w:r>
            <w:r>
              <w:rPr>
                <w:sz w:val="18"/>
              </w:rPr>
              <w:t xml:space="preserve">) com versões declaradas nos </w:t>
            </w:r>
            <w:r>
              <w:rPr>
                <w:rFonts w:ascii="Consolas" w:hAnsi="Consolas"/>
                <w:color w:val="8A2B2B"/>
                <w:sz w:val="18"/>
              </w:rPr>
              <w:t>.csproj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Configuração do gerador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Sim</w:t>
            </w:r>
            <w:r>
              <w:rPr>
                <w:sz w:val="18"/>
              </w:rPr>
              <w:t xml:space="preserve"> — correção no template de scaffold</w:t>
            </w:r>
          </w:p>
        </w:tc>
      </w:tr>
    </w:tbl>
    <w:p/>
    <w:p>
      <w:pPr>
        <w:ind w:left="432"/>
        <w:pBdr>
          <w:left w:val="single" w:sz="18" w:space="8" w:color="004B87"/>
        </w:pBdr>
      </w:pPr>
      <w:r>
        <w:rPr>
          <w:b/>
          <w:i/>
          <w:color w:val="555F6D"/>
        </w:rPr>
        <w:t>Leitura para o cliente:</w:t>
      </w:r>
      <w:r>
        <w:rPr>
          <w:i/>
          <w:color w:val="555F6D"/>
        </w:rPr>
        <w:t xml:space="preserve"> nenhuma das falhas foi "código sem sentido" ou alucinação. Foram </w:t>
      </w:r>
      <w:r>
        <w:rPr>
          <w:b/>
          <w:i/>
          <w:color w:val="555F6D"/>
        </w:rPr>
        <w:t>falhas de ambiente e de template de projeto</w:t>
      </w:r>
      <w:r>
        <w:rPr>
          <w:i/>
          <w:color w:val="555F6D"/>
        </w:rPr>
        <w:t xml:space="preserve"> — a classe de problema mais barata de corrigir. O log inclusive registra hipótese de causa e recomenda revisão humana, em vez de mascarar o erro.</w:t>
      </w:r>
    </w:p>
    <w:p>
      <w:pPr>
        <w:pBdr>
          <w:bottom w:val="single" w:sz="6" w:color="C9D2DD"/>
        </w:pBdr>
      </w:pPr>
    </w:p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4. Capacidade Evolutiva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4.1 Do produto (workflow de agentes)</w:t>
      </w:r>
    </w:p>
    <w:p>
      <w:pPr>
        <w:jc w:val="both"/>
      </w:pPr>
      <w:r>
        <w:rPr>
          <w:b/>
        </w:rPr>
        <w:t>Arquitetura preparada para evoluir sem reescrita: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Vetor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Como está implementado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Agentes como dados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Cada agente é um </w:t>
            </w:r>
            <w:r>
              <w:rPr>
                <w:rFonts w:ascii="Consolas" w:hAnsi="Consolas"/>
                <w:color w:val="8A2B2B"/>
                <w:sz w:val="18"/>
              </w:rPr>
              <w:t>.md</w:t>
            </w:r>
            <w:r>
              <w:rPr>
                <w:sz w:val="18"/>
              </w:rPr>
              <w:t xml:space="preserve"> declarativo com versão semântica própria (ex.: </w:t>
            </w:r>
            <w:r>
              <w:rPr>
                <w:rFonts w:ascii="Consolas" w:hAnsi="Consolas"/>
                <w:color w:val="8A2B2B"/>
                <w:sz w:val="18"/>
              </w:rPr>
              <w:t>ava-devops-iac-azure v2.6.0</w:t>
            </w:r>
            <w:r>
              <w:rPr>
                <w:sz w:val="18"/>
              </w:rPr>
              <w:t>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238 arquivos de agente; registry versionado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Registry central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agent_registry.py</w:t>
            </w:r>
            <w:r>
              <w:rPr>
                <w:sz w:val="18"/>
              </w:rPr>
              <w:t xml:space="preserve"> resolve fase → agentes em runtime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PHASE_BY_MODULE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Stack não hardcodada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Agentes leem </w:t>
            </w:r>
            <w:r>
              <w:rPr>
                <w:rFonts w:ascii="Consolas" w:hAnsi="Consolas"/>
                <w:color w:val="8A2B2B"/>
                <w:sz w:val="18"/>
              </w:rPr>
              <w:t>tobe_stack.*</w:t>
            </w:r>
            <w:r>
              <w:rPr>
                <w:sz w:val="18"/>
              </w:rPr>
              <w:t xml:space="preserve"> de </w:t>
            </w:r>
            <w:r>
              <w:rPr>
                <w:rFonts w:ascii="Consolas" w:hAnsi="Consolas"/>
                <w:color w:val="8A2B2B"/>
                <w:sz w:val="18"/>
              </w:rPr>
              <w:t>project-config.yaml</w:t>
            </w:r>
            <w:r>
              <w:rPr>
                <w:sz w:val="18"/>
              </w:rPr>
              <w:t xml:space="preserve"> em runtime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§"Stack — Totalmente Configurável"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Contratos versionados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Schemas com versão explícita: </w:t>
            </w:r>
            <w:r>
              <w:rPr>
                <w:rFonts w:ascii="Consolas" w:hAnsi="Consolas"/>
                <w:color w:val="8A2B2B"/>
                <w:sz w:val="18"/>
              </w:rPr>
              <w:t>traceability v4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tasks-state v3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plan-graph v3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headers dos JSONs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Governança de mudança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72 specs internas versionadas + CHANGELOG com breaking changes declarados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specs/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CHANGELOG.md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Extensibilidade de nuvem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Agentes IaC separados por provedor (Azure, AWS, GCP, K8s)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F6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Extensibilidade de SGBD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Sub-skills por engine de banco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F1 db-analyzer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Modelo de IA plugável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Engine isolada (</w:t>
            </w:r>
            <w:r>
              <w:rPr>
                <w:rFonts w:ascii="Consolas" w:hAnsi="Consolas"/>
                <w:color w:val="8A2B2B"/>
                <w:sz w:val="18"/>
              </w:rPr>
              <w:t>sdk_engine.py</w:t>
            </w:r>
            <w:r>
              <w:rPr>
                <w:sz w:val="18"/>
              </w:rPr>
              <w:t>); o modelo é parâmetro de execução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runner-state.json</w:t>
            </w:r>
            <w:r>
              <w:rPr>
                <w:sz w:val="18"/>
              </w:rPr>
              <w:t xml:space="preserve"> registra </w:t>
            </w:r>
            <w:r>
              <w:rPr>
                <w:rFonts w:ascii="Consolas" w:hAnsi="Consolas"/>
                <w:color w:val="8A2B2B"/>
                <w:sz w:val="18"/>
              </w:rPr>
              <w:t>model</w:t>
            </w:r>
          </w:p>
        </w:tc>
      </w:tr>
    </w:tbl>
    <w:p/>
    <w:p>
      <w:pPr>
        <w:jc w:val="both"/>
      </w:pPr>
      <w:r>
        <w:rPr>
          <w:b/>
        </w:rPr>
        <w:t>Roadmap natural de curto prazo (derivado das lacunas):</w:t>
      </w:r>
    </w:p>
    <w:p>
      <w:pPr>
        <w:pStyle w:val="ListNumber"/>
      </w:pPr>
      <w:r>
        <w:t xml:space="preserve">Fechar o gate de build do F4 .NET (correção NU1008 no template) — </w:t>
      </w:r>
      <w:r>
        <w:rPr>
          <w:b/>
        </w:rPr>
        <w:t>impacto alto, esforço baixo</w:t>
      </w:r>
      <w:r>
        <w:t>.</w:t>
      </w:r>
    </w:p>
    <w:p>
      <w:pPr>
        <w:pStyle w:val="ListNumber"/>
      </w:pPr>
      <w:r>
        <w:t>Containerizar o runtime de verificação (Node/Angular CLI, .NET SDK) — elimina falhas classe 127.</w:t>
      </w:r>
    </w:p>
    <w:p>
      <w:pPr>
        <w:pStyle w:val="ListNumber"/>
      </w:pPr>
      <w:r>
        <w:t>Promover Spring Boot de 🚧 para GA — abre o mercado Java, dominante em bancos.</w:t>
      </w:r>
    </w:p>
    <w:p>
      <w:pPr>
        <w:pStyle w:val="ListNumber"/>
      </w:pPr>
      <w:r>
        <w:t>Integrar SAST/DAST corporativos como gate nativo (SonarQube já previsto).</w:t>
      </w:r>
    </w:p>
    <w:p>
      <w:pPr>
        <w:pStyle w:val="ListNumber"/>
      </w:pPr>
      <w:r>
        <w:t>Paralelizar F4 por onda topológica (o grafo de 15 ondas já existe e permite isso).</w:t>
      </w:r>
    </w:p>
    <w:p>
      <w:pPr>
        <w:jc w:val="both"/>
      </w:pPr>
      <w:r>
        <w:rPr>
          <w:b/>
        </w:rPr>
        <w:t>Escalabilidade demonstrada:</w:t>
      </w:r>
      <w:r>
        <w:t xml:space="preserve"> o pipeline processou 254 KLOC operando a 36,8% da janela de contexto — há folga arquitetural para bases substancialmente maiores, e existem guias específicos para repositórios legados grandes (</w:t>
      </w:r>
      <w:r>
        <w:rPr>
          <w:rFonts w:ascii="Consolas" w:hAnsi="Consolas"/>
          <w:color w:val="8A2B2B"/>
          <w:sz w:val="18"/>
        </w:rPr>
        <w:t>docs/guia-repositorios-legados-grandes.md</w:t>
      </w:r>
      <w:r>
        <w:t>) e particionamento de módulos (</w:t>
      </w:r>
      <w:r>
        <w:rPr>
          <w:rFonts w:ascii="Consolas" w:hAnsi="Consolas"/>
          <w:color w:val="8A2B2B"/>
          <w:sz w:val="18"/>
        </w:rPr>
        <w:t>module-partitioner</w:t>
      </w:r>
      <w:r>
        <w:t>).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4.2 Do produto gerado (TO-BE do cliente)</w:t>
      </w:r>
    </w:p>
    <w:p>
      <w:pPr>
        <w:jc w:val="both"/>
      </w:pPr>
      <w:r>
        <w:t xml:space="preserve">O TO-BE não é um "código gerado por IA" descartável. É uma </w:t>
      </w:r>
      <w:r>
        <w:rPr>
          <w:b/>
        </w:rPr>
        <w:t>solução arquitetada para evoluir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Característica do TO-BE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Evidência no run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Benefício de evolução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Arquitetura modular por bounded context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10 BCs, solução .NET com </w:t>
            </w:r>
            <w:r>
              <w:rPr>
                <w:rFonts w:ascii="Consolas" w:hAnsi="Consolas"/>
                <w:color w:val="8A2B2B"/>
                <w:sz w:val="18"/>
              </w:rPr>
              <w:t>src/Modules/{Catalog,Orders,Customers,Payments,Shipping,Tax,Security,Messages,Media,Common}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Times independentes por domínio; deploy isolável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Separação em camadas por módulo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.API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.Application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.Infrastructure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.Domain</w:t>
            </w:r>
            <w:r>
              <w:rPr>
                <w:sz w:val="18"/>
              </w:rPr>
              <w:t xml:space="preserve"> por BC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Troca de infraestrutura sem tocar no domínio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Contratos explícitos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OpenAPI por BC (</w:t>
            </w:r>
            <w:r>
              <w:rPr>
                <w:rFonts w:ascii="Consolas" w:hAnsi="Consolas"/>
                <w:color w:val="8A2B2B"/>
                <w:sz w:val="18"/>
              </w:rPr>
              <w:t>bc01-catalog.yaml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bc02-orders.yaml</w:t>
            </w:r>
            <w:r>
              <w:rPr>
                <w:sz w:val="18"/>
              </w:rPr>
              <w:t>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Evolução contratual versionada; consumidores estáveis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Decisões registradas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8 ADRs (estratégia, banco, segurança, backend, frontend, integração, observabilidade, auditoria/LGPD)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Novos times entendem o "porquê", não só o "o quê"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Rastreabilidade regra → task → arquivo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394 tasks com </w:t>
            </w:r>
            <w:r>
              <w:rPr>
                <w:rFonts w:ascii="Consolas" w:hAnsi="Consolas"/>
                <w:color w:val="8A2B2B"/>
                <w:sz w:val="18"/>
              </w:rPr>
              <w:t>source_refs</w:t>
            </w:r>
            <w:r>
              <w:rPr>
                <w:sz w:val="18"/>
              </w:rPr>
              <w:t xml:space="preserve"> (artefato + âncora), </w:t>
            </w:r>
            <w:r>
              <w:rPr>
                <w:rFonts w:ascii="Consolas" w:hAnsi="Consolas"/>
                <w:color w:val="8A2B2B"/>
                <w:sz w:val="18"/>
              </w:rPr>
              <w:t>rule_ids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api_ops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Auditoria regulatória: prova de que a regra do legado foi implementada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Central Package Management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Directory.Packages.props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Atualização de dependências centralizada — crítico para resposta a CVE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Frontend modular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Angular standalone com rotas por domínio (</w:t>
            </w:r>
            <w:r>
              <w:rPr>
                <w:rFonts w:ascii="Consolas" w:hAnsi="Consolas"/>
                <w:color w:val="8A2B2B"/>
                <w:sz w:val="18"/>
              </w:rPr>
              <w:t>catalog.routes.ts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orders.routes.ts</w:t>
            </w:r>
            <w:r>
              <w:rPr>
                <w:sz w:val="18"/>
              </w:rPr>
              <w:t>, …)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Lazy loading e evolução por domínio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IaC versionada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Terraform por onda com módulos e </w:t>
            </w:r>
            <w:r>
              <w:rPr>
                <w:rFonts w:ascii="Consolas" w:hAnsi="Consolas"/>
                <w:color w:val="8A2B2B"/>
                <w:sz w:val="18"/>
              </w:rPr>
              <w:t>tfvars</w:t>
            </w:r>
            <w:r>
              <w:rPr>
                <w:sz w:val="18"/>
              </w:rPr>
              <w:t xml:space="preserve"> por ambiente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Infra evolui com o mesmo rigor do código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Observabilidade desenhada desde o início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ADR-007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Operação bancária exige telemetria desde o dia 1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Auditoria e LGPD desenhadas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ADR-008 (audit log / LGPD) + mapeamento Arts. 46–50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Conformidade por construção, não por remendo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Coexistência com o legado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coexistence-strategy.md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8A2B2B"/>
                <w:sz w:val="18"/>
              </w:rPr>
              <w:t>coexistence-matrix.md</w:t>
            </w:r>
            <w:r>
              <w:rPr>
                <w:sz w:val="18"/>
              </w:rPr>
              <w:t xml:space="preserve"> + Strangler Fig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Migração incremental sem big bang</w:t>
            </w:r>
          </w:p>
        </w:tc>
      </w:tr>
    </w:tbl>
    <w:p/>
    <w:p>
      <w:pPr>
        <w:jc w:val="both"/>
      </w:pPr>
      <w:r>
        <w:rPr>
          <w:b/>
        </w:rPr>
        <w:t>Conclusão:</w:t>
      </w:r>
      <w:r>
        <w:t xml:space="preserve"> o TO-BE entregue tem as propriedades que um banco exige para manter um sistema por 10+ anos — modularidade, contratos, decisões documentadas, rastreabilidade e infraestrutura como código. A capacidade evolutiva </w:t>
      </w:r>
      <w:r>
        <w:rPr>
          <w:b/>
        </w:rPr>
        <w:t>não depende da continuidade do uso da ferramenta</w:t>
      </w:r>
      <w:r>
        <w:t>: o banco recebe um ativo autossuficiente.</w:t>
      </w:r>
    </w:p>
    <w:p>
      <w:pPr>
        <w:pBdr>
          <w:bottom w:val="single" w:sz="6" w:color="C9D2DD"/>
        </w:pBdr>
      </w:pPr>
    </w:p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5. Artefatos Entregues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5.1 Visão geral</w:t>
      </w:r>
    </w:p>
    <w:p>
      <w:pPr>
        <w:jc w:val="both"/>
      </w:pPr>
      <w:r>
        <w:rPr>
          <w:b/>
        </w:rPr>
        <w:t>232 arquivos · 82 MB</w:t>
      </w:r>
      <w:r>
        <w:t xml:space="preserve"> no run de referência, distribuídos 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Arquivos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Natureza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asis/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96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77,7 MB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Diagnóstico do legado (inclui AST bruto e catálogo de regras)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tobe/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132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4,5 MB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Arquitetura, specs, backlog, código, IaC, QA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deliverables/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42 KB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Pacote de entrega ao cliente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readiness-gate/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2 KB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Evidência formal de gate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5.2 Principais entregáveis (top 12 para apresentação)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Entregável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Público-alvo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AS-IS Master Report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asis/master-report.md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Arquitetura / TI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Catálogo de Regras de Negócio</w:t>
            </w:r>
            <w:r>
              <w:rPr>
                <w:sz w:val="18"/>
              </w:rPr>
              <w:t xml:space="preserve"> (436 regras)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asis/docs/business-rules.md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8A2B2B"/>
                <w:sz w:val="18"/>
              </w:rPr>
              <w:t>.json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Negócio / Compliance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Mapa de Bounded Contexts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asis/bounded-context-map.md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Arquitetura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Diagramas C4 + ER + Sequência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asis/diagrams/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tobe/diagrams/</w:t>
            </w:r>
            <w:r>
              <w:rPr>
                <w:sz w:val="18"/>
              </w:rPr>
              <w:t xml:space="preserve"> (18 diagramas)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Arquitetura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TO-BE Architecture Blueprint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tobe/docs/architecture-blueprint.md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Arquitetura / Comitê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 ADRs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tobe/docs/decisions/ADR-001..008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Arquitetura / Auditoria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Contratos OpenAPI por BC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tobe/docs/openapi/*.yaml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Integração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Effort Calculator + AI Estimation</w:t>
            </w:r>
            <w:r>
              <w:rPr>
                <w:sz w:val="18"/>
              </w:rPr>
              <w:t xml:space="preserve"> (3.323 h · 892 FP)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tobe/docs/effort-calculator.md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Comitê de investimento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Migration Plan + Wave Model + Gantt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tobe/migration/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tobe/diagrams/migration-gantt.mmd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PMO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Backlog executável</w:t>
            </w:r>
            <w:r>
              <w:rPr>
                <w:sz w:val="18"/>
              </w:rPr>
              <w:t xml:space="preserve"> (394 tasks · 2.991 dependências)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tobe/speckit/traceability.json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A2B2B"/>
                <w:sz w:val="18"/>
              </w:rPr>
              <w:t>.csv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Squads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Security &amp; Compliance Report</w:t>
            </w:r>
            <w:r>
              <w:rPr>
                <w:sz w:val="18"/>
              </w:rPr>
              <w:t xml:space="preserve"> (LGPD, OWASP, STRIDE, pentest W4)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deliverables/security-compliance-report.md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CISO / DPO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Código-fonte TO-BE + IaC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tobe/source-code/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tobe/iac/wave-1/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Engenharia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5.3 Entregáveis por fase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F0 — AST Extraction</w:t>
      </w:r>
    </w:p>
    <w:p>
      <w:pPr>
        <w:jc w:val="both"/>
      </w:pPr>
      <w:r>
        <w:rPr>
          <w:rFonts w:ascii="Consolas" w:hAnsi="Consolas"/>
          <w:color w:val="8A2B2B"/>
          <w:sz w:val="18"/>
        </w:rPr>
        <w:t>ast-raw/{extraction,compressed,brs}/</w:t>
      </w:r>
      <w:r>
        <w:t xml:space="preserve"> — </w:t>
      </w:r>
      <w:r>
        <w:rPr>
          <w:rFonts w:ascii="Consolas" w:hAnsi="Consolas"/>
          <w:color w:val="8A2B2B"/>
          <w:sz w:val="18"/>
        </w:rPr>
        <w:t>01_business_rules</w:t>
      </w:r>
      <w:r>
        <w:t xml:space="preserve"> · </w:t>
      </w:r>
      <w:r>
        <w:rPr>
          <w:rFonts w:ascii="Consolas" w:hAnsi="Consolas"/>
          <w:color w:val="8A2B2B"/>
          <w:sz w:val="18"/>
        </w:rPr>
        <w:t>03_database_rules</w:t>
      </w:r>
      <w:r>
        <w:t xml:space="preserve"> · </w:t>
      </w:r>
      <w:r>
        <w:rPr>
          <w:rFonts w:ascii="Consolas" w:hAnsi="Consolas"/>
          <w:color w:val="8A2B2B"/>
          <w:sz w:val="18"/>
        </w:rPr>
        <w:t>05_procedures</w:t>
      </w:r>
      <w:r>
        <w:t xml:space="preserve"> · </w:t>
      </w:r>
      <w:r>
        <w:rPr>
          <w:rFonts w:ascii="Consolas" w:hAnsi="Consolas"/>
          <w:color w:val="8A2B2B"/>
          <w:sz w:val="18"/>
        </w:rPr>
        <w:t>06_integrations</w:t>
      </w:r>
      <w:r>
        <w:t xml:space="preserve"> · </w:t>
      </w:r>
      <w:r>
        <w:rPr>
          <w:rFonts w:ascii="Consolas" w:hAnsi="Consolas"/>
          <w:color w:val="8A2B2B"/>
          <w:sz w:val="18"/>
        </w:rPr>
        <w:t>07_apis</w:t>
      </w:r>
      <w:r>
        <w:t xml:space="preserve"> · </w:t>
      </w:r>
      <w:r>
        <w:rPr>
          <w:rFonts w:ascii="Consolas" w:hAnsi="Consolas"/>
          <w:color w:val="8A2B2B"/>
          <w:sz w:val="18"/>
        </w:rPr>
        <w:t>08_code_overview</w:t>
      </w:r>
      <w:r>
        <w:t xml:space="preserve"> · </w:t>
      </w:r>
      <w:r>
        <w:rPr>
          <w:rFonts w:ascii="Consolas" w:hAnsi="Consolas"/>
          <w:color w:val="8A2B2B"/>
          <w:sz w:val="18"/>
        </w:rPr>
        <w:t>10_business_rule_cases</w:t>
      </w:r>
      <w:r>
        <w:t xml:space="preserve"> · </w:t>
      </w:r>
      <w:r>
        <w:rPr>
          <w:rFonts w:ascii="Consolas" w:hAnsi="Consolas"/>
          <w:color w:val="8A2B2B"/>
          <w:sz w:val="18"/>
        </w:rPr>
        <w:t>business_rules_catalog.json</w:t>
      </w:r>
      <w:r>
        <w:t xml:space="preserve"> · </w:t>
      </w:r>
      <w:r>
        <w:rPr>
          <w:rFonts w:ascii="Consolas" w:hAnsi="Consolas"/>
          <w:color w:val="8A2B2B"/>
          <w:sz w:val="18"/>
        </w:rPr>
        <w:t>review_pack.csv</w:t>
      </w:r>
      <w:r>
        <w:t xml:space="preserve"> (pacote de revisão humana das regras).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F1 — AS-IS Diagnostic (96 artefatos)</w:t>
      </w:r>
    </w:p>
    <w:p>
      <w:pPr>
        <w:jc w:val="both"/>
      </w:pPr>
      <w:r>
        <w:rPr>
          <w:rFonts w:ascii="Consolas" w:hAnsi="Consolas"/>
          <w:color w:val="8A2B2B"/>
          <w:sz w:val="18"/>
        </w:rPr>
        <w:t>master-report.md</w:t>
      </w:r>
      <w:r>
        <w:t xml:space="preserve"> · </w:t>
      </w:r>
      <w:r>
        <w:rPr>
          <w:rFonts w:ascii="Consolas" w:hAnsi="Consolas"/>
          <w:color w:val="8A2B2B"/>
          <w:sz w:val="18"/>
        </w:rPr>
        <w:t>inventory-report.md</w:t>
      </w:r>
      <w:r>
        <w:t xml:space="preserve"> · </w:t>
      </w:r>
      <w:r>
        <w:rPr>
          <w:rFonts w:ascii="Consolas" w:hAnsi="Consolas"/>
          <w:color w:val="8A2B2B"/>
          <w:sz w:val="18"/>
        </w:rPr>
        <w:t>architecture-blueprint.md</w:t>
      </w:r>
      <w:r>
        <w:t xml:space="preserve"> · </w:t>
      </w:r>
      <w:r>
        <w:rPr>
          <w:rFonts w:ascii="Consolas" w:hAnsi="Consolas"/>
          <w:color w:val="8A2B2B"/>
          <w:sz w:val="18"/>
        </w:rPr>
        <w:t>bounded-context-map.md</w:t>
      </w:r>
      <w:r>
        <w:t xml:space="preserve"> · </w:t>
      </w:r>
      <w:r>
        <w:rPr>
          <w:rFonts w:ascii="Consolas" w:hAnsi="Consolas"/>
          <w:color w:val="8A2B2B"/>
          <w:sz w:val="18"/>
        </w:rPr>
        <w:t>complexity-map.md</w:t>
      </w:r>
      <w:r>
        <w:t xml:space="preserve"> · </w:t>
      </w:r>
      <w:r>
        <w:rPr>
          <w:rFonts w:ascii="Consolas" w:hAnsi="Consolas"/>
          <w:color w:val="8A2B2B"/>
          <w:sz w:val="18"/>
        </w:rPr>
        <w:t>metrics.json</w:t>
      </w:r>
      <w:r>
        <w:t xml:space="preserve"> · </w:t>
      </w:r>
      <w:r>
        <w:rPr>
          <w:rFonts w:ascii="Consolas" w:hAnsi="Consolas"/>
          <w:color w:val="8A2B2B"/>
          <w:sz w:val="18"/>
        </w:rPr>
        <w:t>pattern-classifications.json</w:t>
      </w:r>
      <w:r>
        <w:t xml:space="preserve"> · </w:t>
      </w:r>
      <w:r>
        <w:rPr>
          <w:rFonts w:ascii="Consolas" w:hAnsi="Consolas"/>
          <w:color w:val="8A2B2B"/>
          <w:sz w:val="18"/>
        </w:rPr>
        <w:t>risk-register.json</w:t>
      </w:r>
      <w:r>
        <w:t xml:space="preserve"> · </w:t>
      </w:r>
      <w:r>
        <w:rPr>
          <w:rFonts w:ascii="Consolas" w:hAnsi="Consolas"/>
          <w:color w:val="8A2B2B"/>
          <w:sz w:val="18"/>
        </w:rPr>
        <w:t>gap-register.json</w:t>
      </w:r>
      <w:r>
        <w:t xml:space="preserve"> · </w:t>
      </w:r>
      <w:r>
        <w:rPr>
          <w:rFonts w:ascii="Consolas" w:hAnsi="Consolas"/>
          <w:color w:val="8A2B2B"/>
          <w:sz w:val="18"/>
        </w:rPr>
        <w:t>gap-analysis-summary.md</w:t>
      </w:r>
      <w:r>
        <w:t xml:space="preserve"> · </w:t>
      </w:r>
      <w:r>
        <w:rPr>
          <w:rFonts w:ascii="Consolas" w:hAnsi="Consolas"/>
          <w:color w:val="8A2B2B"/>
          <w:sz w:val="18"/>
        </w:rPr>
        <w:t>gaps-risks-report.md</w:t>
      </w:r>
      <w:r>
        <w:t xml:space="preserve"> · </w:t>
      </w:r>
      <w:r>
        <w:rPr>
          <w:rFonts w:ascii="Consolas" w:hAnsi="Consolas"/>
          <w:color w:val="8A2B2B"/>
          <w:sz w:val="18"/>
        </w:rPr>
        <w:t>migration-risks-summary.md</w:t>
      </w:r>
      <w:r>
        <w:t xml:space="preserve"> · </w:t>
      </w:r>
      <w:r>
        <w:rPr>
          <w:rFonts w:ascii="Consolas" w:hAnsi="Consolas"/>
          <w:color w:val="8A2B2B"/>
          <w:sz w:val="18"/>
        </w:rPr>
        <w:t>db/</w:t>
      </w:r>
      <w:r>
        <w:t xml:space="preserve"> (análise, qualidade, ER diagram, stored procedures, lógica em banco) · </w:t>
      </w:r>
      <w:r>
        <w:rPr>
          <w:rFonts w:ascii="Consolas" w:hAnsi="Consolas"/>
          <w:color w:val="8A2B2B"/>
          <w:sz w:val="18"/>
        </w:rPr>
        <w:t>security/</w:t>
      </w:r>
      <w:r>
        <w:t xml:space="preserve"> (OWASP coverage matrix, security review) · </w:t>
      </w:r>
      <w:r>
        <w:rPr>
          <w:rFonts w:ascii="Consolas" w:hAnsi="Consolas"/>
          <w:color w:val="8A2B2B"/>
          <w:sz w:val="18"/>
        </w:rPr>
        <w:t>security-map.md</w:t>
      </w:r>
      <w:r>
        <w:t xml:space="preserve"> · </w:t>
      </w:r>
      <w:r>
        <w:rPr>
          <w:rFonts w:ascii="Consolas" w:hAnsi="Consolas"/>
          <w:color w:val="8A2B2B"/>
          <w:sz w:val="18"/>
        </w:rPr>
        <w:t>vulnerabilities.md</w:t>
      </w:r>
      <w:r>
        <w:t xml:space="preserve"> · </w:t>
      </w:r>
      <w:r>
        <w:rPr>
          <w:rFonts w:ascii="Consolas" w:hAnsi="Consolas"/>
          <w:color w:val="8A2B2B"/>
          <w:sz w:val="18"/>
        </w:rPr>
        <w:t>compliance-gaps.md</w:t>
      </w:r>
      <w:r>
        <w:t xml:space="preserve"> · </w:t>
      </w:r>
      <w:r>
        <w:rPr>
          <w:rFonts w:ascii="Consolas" w:hAnsi="Consolas"/>
          <w:color w:val="8A2B2B"/>
          <w:sz w:val="18"/>
        </w:rPr>
        <w:t>events-pubsub-inventory.md</w:t>
      </w:r>
      <w:r>
        <w:t xml:space="preserve"> + grid + riscos · </w:t>
      </w:r>
      <w:r>
        <w:rPr>
          <w:rFonts w:ascii="Consolas" w:hAnsi="Consolas"/>
          <w:color w:val="8A2B2B"/>
          <w:sz w:val="18"/>
        </w:rPr>
        <w:t>docs/</w:t>
      </w:r>
      <w:r>
        <w:t xml:space="preserve"> (business rules, screen flow, screen rules, navigation map, value chain) · </w:t>
      </w:r>
      <w:r>
        <w:rPr>
          <w:rFonts w:ascii="Consolas" w:hAnsi="Consolas"/>
          <w:color w:val="8A2B2B"/>
          <w:sz w:val="18"/>
        </w:rPr>
        <w:t>diagrams/</w:t>
      </w:r>
      <w:r>
        <w:t xml:space="preserve"> (C4 context/container/component, componentes, sequência de checkout e payment, pub/sub flow).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F2 — TO-BE Architecture (35 documentos + 10 diagramas)</w:t>
      </w:r>
    </w:p>
    <w:p>
      <w:pPr>
        <w:jc w:val="both"/>
      </w:pPr>
      <w:r>
        <w:rPr>
          <w:rFonts w:ascii="Consolas" w:hAnsi="Consolas"/>
          <w:color w:val="8A2B2B"/>
          <w:sz w:val="18"/>
        </w:rPr>
        <w:t>architecture-blueprint.md</w:t>
      </w:r>
      <w:r>
        <w:t xml:space="preserve"> · </w:t>
      </w:r>
      <w:r>
        <w:rPr>
          <w:rFonts w:ascii="Consolas" w:hAnsi="Consolas"/>
          <w:color w:val="8A2B2B"/>
          <w:sz w:val="18"/>
        </w:rPr>
        <w:t>architecture-decision-matrix.md</w:t>
      </w:r>
      <w:r>
        <w:t xml:space="preserve"> · </w:t>
      </w:r>
      <w:r>
        <w:rPr>
          <w:rFonts w:ascii="Consolas" w:hAnsi="Consolas"/>
          <w:color w:val="8A2B2B"/>
          <w:sz w:val="18"/>
        </w:rPr>
        <w:t>decisions/ADR-001..008</w:t>
      </w:r>
      <w:r>
        <w:t xml:space="preserve"> + INDEX · </w:t>
      </w:r>
      <w:r>
        <w:rPr>
          <w:rFonts w:ascii="Consolas" w:hAnsi="Consolas"/>
          <w:color w:val="8A2B2B"/>
          <w:sz w:val="18"/>
        </w:rPr>
        <w:t>bounded-context-map.md</w:t>
      </w:r>
      <w:r>
        <w:t xml:space="preserve"> · </w:t>
      </w:r>
      <w:r>
        <w:rPr>
          <w:rFonts w:ascii="Consolas" w:hAnsi="Consolas"/>
          <w:color w:val="8A2B2B"/>
          <w:sz w:val="18"/>
        </w:rPr>
        <w:t>db-design-report.md</w:t>
      </w:r>
      <w:r>
        <w:t xml:space="preserve"> + </w:t>
      </w:r>
      <w:r>
        <w:rPr>
          <w:rFonts w:ascii="Consolas" w:hAnsi="Consolas"/>
          <w:color w:val="8A2B2B"/>
          <w:sz w:val="18"/>
        </w:rPr>
        <w:t>db/sql-strategy.md</w:t>
      </w:r>
      <w:r>
        <w:t xml:space="preserve"> · </w:t>
      </w:r>
      <w:r>
        <w:rPr>
          <w:rFonts w:ascii="Consolas" w:hAnsi="Consolas"/>
          <w:color w:val="8A2B2B"/>
          <w:sz w:val="18"/>
        </w:rPr>
        <w:t>openapi/bc01-catalog.yaml</w:t>
      </w:r>
      <w:r>
        <w:t xml:space="preserve">, </w:t>
      </w:r>
      <w:r>
        <w:rPr>
          <w:rFonts w:ascii="Consolas" w:hAnsi="Consolas"/>
          <w:color w:val="8A2B2B"/>
          <w:sz w:val="18"/>
        </w:rPr>
        <w:t>bc02-orders.yaml</w:t>
      </w:r>
      <w:r>
        <w:t xml:space="preserve"> · </w:t>
      </w:r>
      <w:r>
        <w:rPr>
          <w:rFonts w:ascii="Consolas" w:hAnsi="Consolas"/>
          <w:color w:val="8A2B2B"/>
          <w:sz w:val="18"/>
        </w:rPr>
        <w:t>api-map.md</w:t>
      </w:r>
      <w:r>
        <w:t xml:space="preserve"> · </w:t>
      </w:r>
      <w:r>
        <w:rPr>
          <w:rFonts w:ascii="Consolas" w:hAnsi="Consolas"/>
          <w:color w:val="8A2B2B"/>
          <w:sz w:val="18"/>
        </w:rPr>
        <w:t>integration-matrix.md</w:t>
      </w:r>
      <w:r>
        <w:t xml:space="preserve"> · </w:t>
      </w:r>
      <w:r>
        <w:rPr>
          <w:rFonts w:ascii="Consolas" w:hAnsi="Consolas"/>
          <w:color w:val="8A2B2B"/>
          <w:sz w:val="18"/>
        </w:rPr>
        <w:t>backlog-tobe.md</w:t>
      </w:r>
      <w:r>
        <w:t xml:space="preserve"> · </w:t>
      </w:r>
      <w:r>
        <w:rPr>
          <w:rFonts w:ascii="Consolas" w:hAnsi="Consolas"/>
          <w:color w:val="8A2B2B"/>
          <w:sz w:val="18"/>
        </w:rPr>
        <w:t>ado-work-items.md</w:t>
      </w:r>
      <w:r>
        <w:t xml:space="preserve"> (importável no Azure DevOps) · </w:t>
      </w:r>
      <w:r>
        <w:rPr>
          <w:rFonts w:ascii="Consolas" w:hAnsi="Consolas"/>
          <w:color w:val="8A2B2B"/>
          <w:sz w:val="18"/>
        </w:rPr>
        <w:t>effort-calculator.md</w:t>
      </w:r>
      <w:r>
        <w:t xml:space="preserve"> · </w:t>
      </w:r>
      <w:r>
        <w:rPr>
          <w:rFonts w:ascii="Consolas" w:hAnsi="Consolas"/>
          <w:color w:val="8A2B2B"/>
          <w:sz w:val="18"/>
        </w:rPr>
        <w:t>ai-estimation-report.md</w:t>
      </w:r>
      <w:r>
        <w:t xml:space="preserve"> · </w:t>
      </w:r>
      <w:r>
        <w:rPr>
          <w:rFonts w:ascii="Consolas" w:hAnsi="Consolas"/>
          <w:color w:val="8A2B2B"/>
          <w:sz w:val="18"/>
        </w:rPr>
        <w:t>migration-plan.md</w:t>
      </w:r>
      <w:r>
        <w:t xml:space="preserve"> · </w:t>
      </w:r>
      <w:r>
        <w:rPr>
          <w:rFonts w:ascii="Consolas" w:hAnsi="Consolas"/>
          <w:color w:val="8A2B2B"/>
          <w:sz w:val="18"/>
        </w:rPr>
        <w:t>migration-executive-summary.md</w:t>
      </w:r>
      <w:r>
        <w:t xml:space="preserve"> · </w:t>
      </w:r>
      <w:r>
        <w:rPr>
          <w:rFonts w:ascii="Consolas" w:hAnsi="Consolas"/>
          <w:color w:val="8A2B2B"/>
          <w:sz w:val="18"/>
        </w:rPr>
        <w:t>coexistence-strategy.md</w:t>
      </w:r>
      <w:r>
        <w:t xml:space="preserve"> + </w:t>
      </w:r>
      <w:r>
        <w:rPr>
          <w:rFonts w:ascii="Consolas" w:hAnsi="Consolas"/>
          <w:color w:val="8A2B2B"/>
          <w:sz w:val="18"/>
        </w:rPr>
        <w:t>coexistence-matrix.md</w:t>
      </w:r>
      <w:r>
        <w:t xml:space="preserve"> · </w:t>
      </w:r>
      <w:r>
        <w:rPr>
          <w:rFonts w:ascii="Consolas" w:hAnsi="Consolas"/>
          <w:color w:val="8A2B2B"/>
          <w:sz w:val="18"/>
        </w:rPr>
        <w:t>migration/wave-model.json</w:t>
      </w:r>
      <w:r>
        <w:t xml:space="preserve"> + </w:t>
      </w:r>
      <w:r>
        <w:rPr>
          <w:rFonts w:ascii="Consolas" w:hAnsi="Consolas"/>
          <w:color w:val="8A2B2B"/>
          <w:sz w:val="18"/>
        </w:rPr>
        <w:t>migration-activity-plan.md</w:t>
      </w:r>
      <w:r>
        <w:t xml:space="preserve"> + </w:t>
      </w:r>
      <w:r>
        <w:rPr>
          <w:rFonts w:ascii="Consolas" w:hAnsi="Consolas"/>
          <w:color w:val="8A2B2B"/>
          <w:sz w:val="18"/>
        </w:rPr>
        <w:t>migration-priority-matrix.md</w:t>
      </w:r>
      <w:r>
        <w:t xml:space="preserve"> + </w:t>
      </w:r>
      <w:r>
        <w:rPr>
          <w:rFonts w:ascii="Consolas" w:hAnsi="Consolas"/>
          <w:color w:val="8A2B2B"/>
          <w:sz w:val="18"/>
        </w:rPr>
        <w:t>activity-dependency-graph.md</w:t>
      </w:r>
      <w:r>
        <w:t xml:space="preserve"> · </w:t>
      </w:r>
      <w:r>
        <w:rPr>
          <w:rFonts w:ascii="Consolas" w:hAnsi="Consolas"/>
          <w:color w:val="8A2B2B"/>
          <w:sz w:val="18"/>
        </w:rPr>
        <w:t>risk-mitigation-plan.md</w:t>
      </w:r>
      <w:r>
        <w:t xml:space="preserve"> · </w:t>
      </w:r>
      <w:r>
        <w:rPr>
          <w:rFonts w:ascii="Consolas" w:hAnsi="Consolas"/>
          <w:color w:val="8A2B2B"/>
          <w:sz w:val="18"/>
        </w:rPr>
        <w:t>risk-register-residual.json</w:t>
      </w:r>
      <w:r>
        <w:t xml:space="preserve"> · </w:t>
      </w:r>
      <w:r>
        <w:rPr>
          <w:rFonts w:ascii="Consolas" w:hAnsi="Consolas"/>
          <w:color w:val="8A2B2B"/>
          <w:sz w:val="18"/>
        </w:rPr>
        <w:t>azure-infra-estimator_reportV1.md</w:t>
      </w:r>
      <w:r>
        <w:t xml:space="preserve"> + </w:t>
      </w:r>
      <w:r>
        <w:rPr>
          <w:rFonts w:ascii="Consolas" w:hAnsi="Consolas"/>
          <w:color w:val="8A2B2B"/>
          <w:sz w:val="18"/>
        </w:rPr>
        <w:t>azure-provisioning-planV1.md</w:t>
      </w:r>
      <w:r>
        <w:t xml:space="preserve"> (custo de nuvem) · </w:t>
      </w:r>
      <w:r>
        <w:rPr>
          <w:rFonts w:ascii="Consolas" w:hAnsi="Consolas"/>
          <w:color w:val="8A2B2B"/>
          <w:sz w:val="18"/>
        </w:rPr>
        <w:t>design-system.md</w:t>
      </w:r>
      <w:r>
        <w:t xml:space="preserve"> · </w:t>
      </w:r>
      <w:r>
        <w:rPr>
          <w:rFonts w:ascii="Consolas" w:hAnsi="Consolas"/>
          <w:color w:val="8A2B2B"/>
          <w:sz w:val="18"/>
        </w:rPr>
        <w:t>user-journeys-report.md</w:t>
      </w:r>
      <w:r>
        <w:t xml:space="preserve"> · </w:t>
      </w:r>
      <w:r>
        <w:rPr>
          <w:rFonts w:ascii="Consolas" w:hAnsi="Consolas"/>
          <w:color w:val="8A2B2B"/>
          <w:sz w:val="18"/>
        </w:rPr>
        <w:t>diagrams/</w:t>
      </w:r>
      <w:r>
        <w:t xml:space="preserve"> (C4, context map, MER TO-BE, Gantt, coexistência, sequência arquitetural, classe).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F3 — Prototype</w:t>
      </w:r>
    </w:p>
    <w:p>
      <w:pPr>
        <w:jc w:val="both"/>
      </w:pPr>
      <w:r>
        <w:rPr>
          <w:rFonts w:ascii="Consolas" w:hAnsi="Consolas"/>
          <w:color w:val="8A2B2B"/>
          <w:sz w:val="18"/>
        </w:rPr>
        <w:t>prototype/index.html</w:t>
      </w:r>
      <w:r>
        <w:t xml:space="preserve"> (navegável) · </w:t>
      </w:r>
      <w:r>
        <w:rPr>
          <w:rFonts w:ascii="Consolas" w:hAnsi="Consolas"/>
          <w:color w:val="8A2B2B"/>
          <w:sz w:val="18"/>
        </w:rPr>
        <w:t>design-tokens.json</w:t>
      </w:r>
      <w:r>
        <w:t xml:space="preserve"> · </w:t>
      </w:r>
      <w:r>
        <w:rPr>
          <w:rFonts w:ascii="Consolas" w:hAnsi="Consolas"/>
          <w:color w:val="8A2B2B"/>
          <w:sz w:val="18"/>
        </w:rPr>
        <w:t>figma-spec.md</w:t>
      </w:r>
      <w:r>
        <w:t xml:space="preserve"> · </w:t>
      </w:r>
      <w:r>
        <w:rPr>
          <w:rFonts w:ascii="Consolas" w:hAnsi="Consolas"/>
          <w:color w:val="8A2B2B"/>
          <w:sz w:val="18"/>
        </w:rPr>
        <w:t>screen-list.md</w:t>
      </w:r>
      <w:r>
        <w:t xml:space="preserve"> · </w:t>
      </w:r>
      <w:r>
        <w:rPr>
          <w:rFonts w:ascii="Consolas" w:hAnsi="Consolas"/>
          <w:color w:val="8A2B2B"/>
          <w:sz w:val="18"/>
        </w:rPr>
        <w:t>design-input-traceability.json</w:t>
      </w:r>
      <w:r>
        <w:t xml:space="preserve"> · </w:t>
      </w:r>
      <w:r>
        <w:rPr>
          <w:rFonts w:ascii="Consolas" w:hAnsi="Consolas"/>
          <w:color w:val="8A2B2B"/>
          <w:sz w:val="18"/>
        </w:rPr>
        <w:t>execution-log.json</w:t>
      </w:r>
      <w:r>
        <w:t>.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F3S — SpecKit (backlog executável)</w:t>
      </w:r>
    </w:p>
    <w:p>
      <w:pPr>
        <w:jc w:val="both"/>
      </w:pPr>
      <w:r>
        <w:rPr>
          <w:rFonts w:ascii="Consolas" w:hAnsi="Consolas"/>
          <w:color w:val="8A2B2B"/>
          <w:sz w:val="18"/>
        </w:rPr>
        <w:t>constitution.md</w:t>
      </w:r>
      <w:r>
        <w:t xml:space="preserve"> (decisões invioláveis do projeto) · </w:t>
      </w:r>
      <w:r>
        <w:rPr>
          <w:rFonts w:ascii="Consolas" w:hAnsi="Consolas"/>
          <w:color w:val="8A2B2B"/>
          <w:sz w:val="18"/>
        </w:rPr>
        <w:t>wave-spec-manifest.json</w:t>
      </w:r>
      <w:r>
        <w:t xml:space="preserve"> · </w:t>
      </w:r>
      <w:r>
        <w:rPr>
          <w:rFonts w:ascii="Consolas" w:hAnsi="Consolas"/>
          <w:color w:val="8A2B2B"/>
          <w:sz w:val="18"/>
        </w:rPr>
        <w:t>specs/</w:t>
      </w:r>
      <w:r>
        <w:t xml:space="preserve"> — 7 features (000-scaffold-angular, 000-scaffold-dotnet, 001-w0-foundation, 002-w1-low, 003-w2-medium, 004-w3-high, 005-w4-cutover) com spec + plan + tasks (36 arquivos) · </w:t>
      </w:r>
      <w:r>
        <w:rPr>
          <w:rFonts w:ascii="Consolas" w:hAnsi="Consolas"/>
          <w:color w:val="8A2B2B"/>
          <w:sz w:val="18"/>
        </w:rPr>
        <w:t>traceability.json</w:t>
      </w:r>
      <w:r>
        <w:t xml:space="preserve"> (v4) + </w:t>
      </w:r>
      <w:r>
        <w:rPr>
          <w:rFonts w:ascii="Consolas" w:hAnsi="Consolas"/>
          <w:color w:val="8A2B2B"/>
          <w:sz w:val="18"/>
        </w:rPr>
        <w:t>traceability.csv</w:t>
      </w:r>
      <w:r>
        <w:t xml:space="preserve"> · </w:t>
      </w:r>
      <w:r>
        <w:rPr>
          <w:rFonts w:ascii="Consolas" w:hAnsi="Consolas"/>
          <w:color w:val="8A2B2B"/>
          <w:sz w:val="18"/>
        </w:rPr>
        <w:t>tasks-state.json</w:t>
      </w:r>
      <w:r>
        <w:t xml:space="preserve"> (v3, 394 tasks) · </w:t>
      </w:r>
      <w:r>
        <w:rPr>
          <w:rFonts w:ascii="Consolas" w:hAnsi="Consolas"/>
          <w:color w:val="8A2B2B"/>
          <w:sz w:val="18"/>
        </w:rPr>
        <w:t>compliance-report.md</w:t>
      </w:r>
      <w:r>
        <w:t xml:space="preserve"> + </w:t>
      </w:r>
      <w:r>
        <w:rPr>
          <w:rFonts w:ascii="Consolas" w:hAnsi="Consolas"/>
          <w:color w:val="8A2B2B"/>
          <w:sz w:val="18"/>
        </w:rPr>
        <w:t>compliance-status.json</w:t>
      </w:r>
      <w:r>
        <w:t xml:space="preserve"> (20 checks).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F4 — Codegen</w:t>
      </w:r>
    </w:p>
    <w:p>
      <w:pPr>
        <w:jc w:val="both"/>
      </w:pPr>
      <w:r>
        <w:rPr>
          <w:rFonts w:ascii="Consolas" w:hAnsi="Consolas"/>
          <w:color w:val="8A2B2B"/>
          <w:sz w:val="18"/>
        </w:rPr>
        <w:t>source-code/dotnet/</w:t>
      </w:r>
      <w:r>
        <w:t xml:space="preserve"> — solução com 123 arquivos </w:t>
      </w:r>
      <w:r>
        <w:rPr>
          <w:rFonts w:ascii="Consolas" w:hAnsi="Consolas"/>
          <w:color w:val="8A2B2B"/>
          <w:sz w:val="18"/>
        </w:rPr>
        <w:t>.cs</w:t>
      </w:r>
      <w:r>
        <w:t xml:space="preserve">, </w:t>
      </w:r>
      <w:r>
        <w:rPr>
          <w:rFonts w:ascii="Consolas" w:hAnsi="Consolas"/>
          <w:color w:val="8A2B2B"/>
          <w:sz w:val="18"/>
        </w:rPr>
        <w:t>NopCommerce.sln</w:t>
      </w:r>
      <w:r>
        <w:t xml:space="preserve">, </w:t>
      </w:r>
      <w:r>
        <w:rPr>
          <w:rFonts w:ascii="Consolas" w:hAnsi="Consolas"/>
          <w:color w:val="8A2B2B"/>
          <w:sz w:val="18"/>
        </w:rPr>
        <w:t>Directory.Build.props</w:t>
      </w:r>
      <w:r>
        <w:t xml:space="preserve">, </w:t>
      </w:r>
      <w:r>
        <w:rPr>
          <w:rFonts w:ascii="Consolas" w:hAnsi="Consolas"/>
          <w:color w:val="8A2B2B"/>
          <w:sz w:val="18"/>
        </w:rPr>
        <w:t>Directory.Packages.props</w:t>
      </w:r>
      <w:r>
        <w:t xml:space="preserve">, </w:t>
      </w:r>
      <w:r>
        <w:rPr>
          <w:rFonts w:ascii="Consolas" w:hAnsi="Consolas"/>
          <w:color w:val="8A2B2B"/>
          <w:sz w:val="18"/>
        </w:rPr>
        <w:t>global.json</w:t>
      </w:r>
      <w:r>
        <w:t xml:space="preserve">, </w:t>
      </w:r>
      <w:r>
        <w:rPr>
          <w:rFonts w:ascii="Consolas" w:hAnsi="Consolas"/>
          <w:color w:val="8A2B2B"/>
          <w:sz w:val="18"/>
        </w:rPr>
        <w:t>.editorconfig</w:t>
      </w:r>
      <w:r>
        <w:t xml:space="preserve">, módulos por BC em 4 camadas · </w:t>
      </w:r>
      <w:r>
        <w:rPr>
          <w:rFonts w:ascii="Consolas" w:hAnsi="Consolas"/>
          <w:color w:val="8A2B2B"/>
          <w:sz w:val="18"/>
        </w:rPr>
        <w:t>source-code/angular/</w:t>
      </w:r>
      <w:r>
        <w:t xml:space="preserve"> + </w:t>
      </w:r>
      <w:r>
        <w:rPr>
          <w:rFonts w:ascii="Consolas" w:hAnsi="Consolas"/>
          <w:color w:val="8A2B2B"/>
          <w:sz w:val="18"/>
        </w:rPr>
        <w:t>stack/frontend/nopcommerce-spa/</w:t>
      </w:r>
      <w:r>
        <w:t xml:space="preserve"> — Angular standalone com rotas por domínio · </w:t>
      </w:r>
      <w:r>
        <w:rPr>
          <w:rFonts w:ascii="Consolas" w:hAnsi="Consolas"/>
          <w:color w:val="8A2B2B"/>
          <w:sz w:val="18"/>
        </w:rPr>
        <w:t>GENERATION_LOG.md</w:t>
      </w:r>
      <w:r>
        <w:t xml:space="preserve"> por stack (tentativas, exit codes, hipótese de causa raiz) · </w:t>
      </w:r>
      <w:r>
        <w:rPr>
          <w:rFonts w:ascii="Consolas" w:hAnsi="Consolas"/>
          <w:color w:val="8A2B2B"/>
          <w:sz w:val="18"/>
        </w:rPr>
        <w:t>source-code.zip</w:t>
      </w:r>
      <w:r>
        <w:t>.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F5 — QA</w:t>
      </w:r>
    </w:p>
    <w:p>
      <w:pPr>
        <w:jc w:val="both"/>
      </w:pPr>
      <w:r>
        <w:rPr>
          <w:rFonts w:ascii="Consolas" w:hAnsi="Consolas"/>
          <w:color w:val="8A2B2B"/>
          <w:sz w:val="18"/>
        </w:rPr>
        <w:t>qa/test-plan.md</w:t>
      </w:r>
      <w:r>
        <w:t xml:space="preserve"> · </w:t>
      </w:r>
      <w:r>
        <w:rPr>
          <w:rFonts w:ascii="Consolas" w:hAnsi="Consolas"/>
          <w:color w:val="8A2B2B"/>
          <w:sz w:val="18"/>
        </w:rPr>
        <w:t>qa/test-cases.md</w:t>
      </w:r>
      <w:r>
        <w:t xml:space="preserve"> · </w:t>
      </w:r>
      <w:r>
        <w:rPr>
          <w:rFonts w:ascii="Consolas" w:hAnsi="Consolas"/>
          <w:color w:val="8A2B2B"/>
          <w:sz w:val="18"/>
        </w:rPr>
        <w:t>qa/gap-analysis.md</w:t>
      </w:r>
      <w:r>
        <w:t xml:space="preserve"> · </w:t>
      </w:r>
      <w:r>
        <w:rPr>
          <w:rFonts w:ascii="Consolas" w:hAnsi="Consolas"/>
          <w:color w:val="8A2B2B"/>
          <w:sz w:val="18"/>
        </w:rPr>
        <w:t>tests/functional-test-matrix.md</w:t>
      </w:r>
      <w:r>
        <w:t xml:space="preserve"> · </w:t>
      </w:r>
      <w:r>
        <w:rPr>
          <w:rFonts w:ascii="Consolas" w:hAnsi="Consolas"/>
          <w:color w:val="8A2B2B"/>
          <w:sz w:val="18"/>
        </w:rPr>
        <w:t>tests/automatable-test-cases.md</w:t>
      </w:r>
      <w:r>
        <w:t xml:space="preserve"> · </w:t>
      </w:r>
      <w:r>
        <w:rPr>
          <w:rFonts w:ascii="Consolas" w:hAnsi="Consolas"/>
          <w:color w:val="8A2B2B"/>
          <w:sz w:val="18"/>
        </w:rPr>
        <w:t>tests/traceability-matrix.md</w:t>
      </w:r>
      <w:r>
        <w:t xml:space="preserve"> · </w:t>
      </w:r>
      <w:r>
        <w:rPr>
          <w:rFonts w:ascii="Consolas" w:hAnsi="Consolas"/>
          <w:color w:val="8A2B2B"/>
          <w:sz w:val="18"/>
        </w:rPr>
        <w:t>tests/features/</w:t>
      </w:r>
      <w:r>
        <w:t xml:space="preserve"> (BDD).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F6 — DevOps</w:t>
      </w:r>
    </w:p>
    <w:p>
      <w:pPr>
        <w:jc w:val="both"/>
      </w:pPr>
      <w:r>
        <w:rPr>
          <w:rFonts w:ascii="Consolas" w:hAnsi="Consolas"/>
          <w:color w:val="8A2B2B"/>
          <w:sz w:val="18"/>
        </w:rPr>
        <w:t>iac/wave-1/</w:t>
      </w:r>
      <w:r>
        <w:t xml:space="preserve"> — </w:t>
      </w:r>
      <w:r>
        <w:rPr>
          <w:rFonts w:ascii="Consolas" w:hAnsi="Consolas"/>
          <w:color w:val="8A2B2B"/>
          <w:sz w:val="18"/>
        </w:rPr>
        <w:t>main.tf</w:t>
      </w:r>
      <w:r>
        <w:t xml:space="preserve">, </w:t>
      </w:r>
      <w:r>
        <w:rPr>
          <w:rFonts w:ascii="Consolas" w:hAnsi="Consolas"/>
          <w:color w:val="8A2B2B"/>
          <w:sz w:val="18"/>
        </w:rPr>
        <w:t>variables.tf</w:t>
      </w:r>
      <w:r>
        <w:t xml:space="preserve">, </w:t>
      </w:r>
      <w:r>
        <w:rPr>
          <w:rFonts w:ascii="Consolas" w:hAnsi="Consolas"/>
          <w:color w:val="8A2B2B"/>
          <w:sz w:val="18"/>
        </w:rPr>
        <w:t>outputs.tf</w:t>
      </w:r>
      <w:r>
        <w:t xml:space="preserve">, </w:t>
      </w:r>
      <w:r>
        <w:rPr>
          <w:rFonts w:ascii="Consolas" w:hAnsi="Consolas"/>
          <w:color w:val="8A2B2B"/>
          <w:sz w:val="18"/>
        </w:rPr>
        <w:t>modules/</w:t>
      </w:r>
      <w:r>
        <w:t xml:space="preserve">, </w:t>
      </w:r>
      <w:r>
        <w:rPr>
          <w:rFonts w:ascii="Consolas" w:hAnsi="Consolas"/>
          <w:color w:val="8A2B2B"/>
          <w:sz w:val="18"/>
        </w:rPr>
        <w:t>terraform.tfvars.dev</w:t>
      </w:r>
      <w:r>
        <w:t xml:space="preserve"> · </w:t>
      </w:r>
      <w:r>
        <w:rPr>
          <w:rFonts w:ascii="Consolas" w:hAnsi="Consolas"/>
          <w:color w:val="8A2B2B"/>
          <w:sz w:val="18"/>
        </w:rPr>
        <w:t>devops/devops-plan.md</w:t>
      </w:r>
      <w:r>
        <w:t xml:space="preserve"> · </w:t>
      </w:r>
      <w:r>
        <w:rPr>
          <w:rFonts w:ascii="Consolas" w:hAnsi="Consolas"/>
          <w:color w:val="8A2B2B"/>
          <w:sz w:val="18"/>
        </w:rPr>
        <w:t>devops/environments-plan.md</w:t>
      </w:r>
      <w:r>
        <w:t>.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F7 — Deliverables</w:t>
      </w:r>
    </w:p>
    <w:p>
      <w:pPr>
        <w:jc w:val="both"/>
      </w:pPr>
      <w:r>
        <w:rPr>
          <w:rFonts w:ascii="Consolas" w:hAnsi="Consolas"/>
          <w:color w:val="8A2B2B"/>
          <w:sz w:val="18"/>
        </w:rPr>
        <w:t>security-compliance-report.md</w:t>
      </w:r>
      <w:r>
        <w:t xml:space="preserve"> (33 KB, 10 seções: executive summary, remediação de vulnerabilidades, controles LGPD Arts. 46–50, GDPR, threat model STRIDE AS-IS→TO-BE, SAST, DAST, checklist de pentest Wave 4, quality gates, log de remediação Z-Curve) · </w:t>
      </w:r>
      <w:r>
        <w:rPr>
          <w:rFonts w:ascii="Consolas" w:hAnsi="Consolas"/>
          <w:color w:val="8A2B2B"/>
          <w:sz w:val="18"/>
        </w:rPr>
        <w:t>security-compliance-summary.json</w:t>
      </w:r>
      <w:r>
        <w:t xml:space="preserve"> (machine-readable, com linhas de assinatura para </w:t>
      </w:r>
      <w:r>
        <w:rPr>
          <w:b/>
        </w:rPr>
        <w:t>CISO</w:t>
      </w:r>
      <w:r>
        <w:t xml:space="preserve"> e </w:t>
      </w:r>
      <w:r>
        <w:rPr>
          <w:b/>
        </w:rPr>
        <w:t>DPO</w:t>
      </w:r>
      <w:r>
        <w:t>).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F8 — Summary</w:t>
      </w:r>
    </w:p>
    <w:p>
      <w:pPr>
        <w:jc w:val="both"/>
      </w:pPr>
      <w:r>
        <w:rPr>
          <w:rFonts w:ascii="Consolas" w:hAnsi="Consolas"/>
          <w:color w:val="8A2B2B"/>
          <w:sz w:val="18"/>
        </w:rPr>
        <w:t>pipeline-status.html</w:t>
      </w:r>
      <w:r>
        <w:t xml:space="preserve"> (status ao vivo) · </w:t>
      </w:r>
      <w:r>
        <w:rPr>
          <w:rFonts w:ascii="Consolas" w:hAnsi="Consolas"/>
          <w:color w:val="8A2B2B"/>
          <w:sz w:val="18"/>
        </w:rPr>
        <w:t>execution-report_*.md</w:t>
      </w:r>
      <w:r>
        <w:t xml:space="preserve"> (consumo de tokens, custo estimado, tempo e artefatos por fase) · HTML consolidado auditado por </w:t>
      </w:r>
      <w:r>
        <w:rPr>
          <w:rFonts w:ascii="Consolas" w:hAnsi="Consolas"/>
          <w:color w:val="8A2B2B"/>
          <w:sz w:val="18"/>
        </w:rPr>
        <w:t>quality_gate</w:t>
      </w:r>
      <w:r>
        <w:t xml:space="preserve"> (~55 regras).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5.4 Entregáveis específicos para o contexto bancário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Exigência bancária</w:t>
            </w:r>
          </w:p>
        </w:tc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Artefato que a atende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Rastreabilidade regra legada → implementação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traceability.json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A2B2B"/>
                <w:sz w:val="18"/>
              </w:rPr>
              <w:t>source_refs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rule_ids</w:t>
            </w:r>
            <w:r>
              <w:rPr>
                <w:sz w:val="18"/>
              </w:rPr>
              <w:t xml:space="preserve">) + </w:t>
            </w:r>
            <w:r>
              <w:rPr>
                <w:rFonts w:ascii="Consolas" w:hAnsi="Consolas"/>
                <w:color w:val="8A2B2B"/>
                <w:sz w:val="18"/>
              </w:rPr>
              <w:t>review_pack.csv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Conformidade LGPD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Seção 3 do Security Report — mapeamento Arts. 46–50 → controles TO-BE + evidências de PII + assinatura do DPO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Postura de segurança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OWASP coverage matrix, STRIDE, 13 vulnerabilidades classificadas por severidade/CWE/OWASP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Teste de intrusão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Checklist de pentest Wave 4 com escopo, metodologia, credenciais e critérios go/no-go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Evidência para auditoria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trace_id</w:t>
            </w:r>
            <w:r>
              <w:rPr>
                <w:sz w:val="18"/>
              </w:rPr>
              <w:t xml:space="preserve"> por execução, checksums de grafo, exit codes, timestamps NTP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Decisão de comitê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Effort calculator com fórmula, overhead 15%, contingência 20% e linha de aprovação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Continuidade operacional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Coexistence strategy (Strangler Fig) — sem big bang</w:t>
            </w:r>
          </w:p>
        </w:tc>
      </w:tr>
    </w:tbl>
    <w:p/>
    <w:p>
      <w:pPr>
        <w:pBdr>
          <w:bottom w:val="single" w:sz="6" w:color="C9D2DD"/>
        </w:pBdr>
      </w:pPr>
    </w:p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6. Modelo Comercial</w:t>
      </w:r>
    </w:p>
    <w:p>
      <w:pPr>
        <w:ind w:left="432"/>
        <w:pBdr>
          <w:left w:val="single" w:sz="18" w:space="8" w:color="004B87"/>
        </w:pBdr>
      </w:pPr>
      <w:r>
        <w:rPr>
          <w:b/>
          <w:i/>
          <w:color w:val="555F6D"/>
        </w:rPr>
        <w:t>Nota:</w:t>
      </w:r>
      <w:r>
        <w:rPr>
          <w:i/>
          <w:color w:val="555F6D"/>
        </w:rPr>
        <w:t xml:space="preserve"> os valores monetários abaixo são </w:t>
      </w:r>
      <w:r>
        <w:rPr>
          <w:b/>
          <w:i/>
          <w:color w:val="555F6D"/>
        </w:rPr>
        <w:t>faixas de referência para calibração pelo time comercial</w:t>
      </w:r>
      <w:r>
        <w:rPr>
          <w:i/>
          <w:color w:val="555F6D"/>
        </w:rPr>
        <w:t xml:space="preserve">. O único número de custo </w:t>
      </w:r>
      <w:r>
        <w:rPr>
          <w:b/>
          <w:i/>
          <w:color w:val="555F6D"/>
        </w:rPr>
        <w:t>medido</w:t>
      </w:r>
      <w:r>
        <w:rPr>
          <w:i/>
          <w:color w:val="555F6D"/>
        </w:rPr>
        <w:t xml:space="preserve"> é o consumo de modelo de IA (§6.2).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6.1 Drivers de precificação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Tamanho da base legada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KLOC / nº de arquivos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Custo de F0–F1 (linear)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Complexidade de domínio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nº de Bounded Contexts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Custo de F2–F3S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Volume de backlog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nº de tasks / FP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Custo de F4 (linear por task)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Escopo de segurança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security_enabled_*</w:t>
            </w:r>
            <w:r>
              <w:rPr>
                <w:sz w:val="18"/>
              </w:rPr>
              <w:t>, SAST/DAST, pentest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Custo de F1-sec e F7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Stacks-alvo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1 backend + 1 frontend vs. múltiplas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Complexidade de F4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Nuvem e ambientes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Azure/AWS/GCP × dev/hml/prd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Custo de F6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Modo de execução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SaaS Avanade vs. on-premise / VPC do banco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Setup e compliance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 xml:space="preserve">6.2 Custo de execução </w:t>
      </w:r>
      <w:r>
        <w:rPr>
          <w:rFonts w:ascii="Segoe UI" w:hAnsi="Segoe UI"/>
          <w:b/>
          <w:color w:val="004B87"/>
        </w:rPr>
        <w:t>medido</w:t>
      </w:r>
      <w:r>
        <w:rPr>
          <w:rFonts w:ascii="Segoe UI" w:hAnsi="Segoe UI"/>
          <w:color w:val="004B87"/>
        </w:rPr>
        <w:t xml:space="preserve"> (consumo de modelo de IA)</w:t>
      </w:r>
    </w:p>
    <w:p>
      <w:pPr>
        <w:jc w:val="both"/>
      </w:pPr>
      <w:r>
        <w:t xml:space="preserve">Base: métricas reais de F4 no run </w:t>
      </w:r>
      <w:r>
        <w:rPr>
          <w:rFonts w:ascii="Consolas" w:hAnsi="Consolas"/>
          <w:color w:val="8A2B2B"/>
          <w:sz w:val="18"/>
        </w:rPr>
        <w:t>nopcommerce-04</w:t>
      </w:r>
      <w:r>
        <w:t xml:space="preserve"> (</w:t>
      </w:r>
      <w:r>
        <w:rPr>
          <w:rFonts w:ascii="Consolas" w:hAnsi="Consolas"/>
          <w:color w:val="8A2B2B"/>
          <w:sz w:val="18"/>
        </w:rPr>
        <w:t>runner-state.json</w:t>
      </w:r>
      <w:r>
        <w:t xml:space="preserve">), com tarifa pública de referência de </w:t>
      </w:r>
      <w:r>
        <w:rPr>
          <w:b/>
        </w:rPr>
        <w:t>US$ 3,00/M tokens de entrada</w:t>
      </w:r>
      <w:r>
        <w:t xml:space="preserve"> e </w:t>
      </w:r>
      <w:r>
        <w:rPr>
          <w:b/>
        </w:rPr>
        <w:t>US$ 15,00/M de saída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Medido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Cálculo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Custo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Scaffold Angular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239.619 in · 45.311 out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0,72 + 0,68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US$ 1,40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Scaffold .NET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239.619 in · 69.379 out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0,72 + 1,04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US$ 1,76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Média por task de codegen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US$ 1,58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Projeção F4 completo</w:t>
            </w:r>
            <w:r>
              <w:rPr>
                <w:sz w:val="18"/>
              </w:rPr>
              <w:t xml:space="preserve"> (394 tasks)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394 × 1,58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US$ 620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Projeção F0–F3S</w:t>
            </w:r>
            <w:r>
              <w:rPr>
                <w:sz w:val="18"/>
              </w:rPr>
              <w:t xml:space="preserve"> (≈ 45 execuções de agente)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estimativa por analogia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US$ 200–400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Custo total de IA por migração deste porte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US$ 800–1.100</w:t>
            </w:r>
          </w:p>
        </w:tc>
      </w:tr>
    </w:tbl>
    <w:p/>
    <w:p>
      <w:pPr>
        <w:ind w:left="432"/>
        <w:pBdr>
          <w:left w:val="single" w:sz="18" w:space="8" w:color="004B87"/>
        </w:pBdr>
      </w:pPr>
      <w:r>
        <w:rPr>
          <w:b/>
          <w:i/>
          <w:color w:val="555F6D"/>
        </w:rPr>
        <w:t>Insight comercial decisivo:</w:t>
      </w:r>
      <w:r>
        <w:rPr>
          <w:i/>
          <w:color w:val="555F6D"/>
        </w:rPr>
        <w:t xml:space="preserve"> o custo de IA é </w:t>
      </w:r>
      <w:r>
        <w:rPr>
          <w:b/>
          <w:i/>
          <w:color w:val="555F6D"/>
        </w:rPr>
        <w:t>desprezível</w:t>
      </w:r>
      <w:r>
        <w:rPr>
          <w:i/>
          <w:color w:val="555F6D"/>
        </w:rPr>
        <w:t xml:space="preserve"> frente ao esforço humano que substitui (3.323 h estimadas). A precificação </w:t>
      </w:r>
      <w:r>
        <w:rPr>
          <w:b/>
          <w:i/>
          <w:color w:val="555F6D"/>
        </w:rPr>
        <w:t>não deve ser baseada em consumo de tokens</w:t>
      </w:r>
      <w:r>
        <w:rPr>
          <w:i/>
          <w:color w:val="555F6D"/>
        </w:rPr>
        <w:t xml:space="preserve">, e sim em </w:t>
      </w:r>
      <w:r>
        <w:rPr>
          <w:b/>
          <w:i/>
          <w:color w:val="555F6D"/>
        </w:rPr>
        <w:t>valor entregue</w:t>
      </w:r>
      <w:r>
        <w:rPr>
          <w:i/>
          <w:color w:val="555F6D"/>
        </w:rPr>
        <w:t xml:space="preserve"> (esforço evitado / velocidade / risco reduzido).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6.3 Três modelos de contratação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Modelo A — Assinatura de Plataforma + Fee por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Faixa de referência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Setup inicial (ambiente, integração SSO/repos, hardening, treinamento)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One-time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R$ [ — ]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Assinatura da plataforma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Por squad habilitado / mês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R$ [ — ] /mês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Fee de execução por projeto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Por faixa de KLOC (até 100k · 100–500k · 500k+)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R$ [ — ] /projeto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Suporte e evolução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% da assinatura, SLA definido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[ — ] %</w:t>
            </w:r>
          </w:p>
        </w:tc>
      </w:tr>
    </w:tbl>
    <w:p/>
    <w:p>
      <w:pPr>
        <w:jc w:val="both"/>
      </w:pPr>
      <w:r>
        <w:rPr>
          <w:b/>
        </w:rPr>
        <w:t>Quando usar:</w:t>
      </w:r>
      <w:r>
        <w:t xml:space="preserve"> o banco quer capacidade instalada e vai modernizar múltiplos sistemas. </w:t>
      </w:r>
      <w:r>
        <w:rPr>
          <w:b/>
        </w:rPr>
        <w:t>Vantagem:</w:t>
      </w:r>
      <w:r>
        <w:t xml:space="preserve"> receita recorrente + previsibilidade para o cliente.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Modelo B — Preço por Ponto de Função Modernizado (</w:t>
      </w:r>
      <w:r>
        <w:rPr>
          <w:rFonts w:ascii="Segoe UI" w:hAnsi="Segoe UI"/>
          <w:i/>
          <w:color w:val="004B87"/>
        </w:rPr>
        <w:t>outcome-based</w:t>
      </w:r>
      <w:r>
        <w:rPr>
          <w:rFonts w:ascii="Segoe UI" w:hAnsi="Segoe UI"/>
          <w:color w:val="004B87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Referência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Preço por FP entregue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FP calculado pelo pipeline (892 FP no run)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R$ [ — ] /FP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Bônus de qualidade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Cobertura de testes ≥ 80% + gates aprovados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+ [ — ] %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Retenção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10–20% liberado no aceite de cada onda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jc w:val="both"/>
      </w:pPr>
      <w:r>
        <w:rPr>
          <w:b/>
        </w:rPr>
        <w:t>Quando usar:</w:t>
      </w:r>
      <w:r>
        <w:t xml:space="preserve"> cliente exige compromisso com resultado. </w:t>
      </w:r>
      <w:r>
        <w:rPr>
          <w:b/>
        </w:rPr>
        <w:t>Atenção:</w:t>
      </w:r>
      <w:r>
        <w:t xml:space="preserve"> exige acordo prévio sobre a </w:t>
      </w:r>
      <w:r>
        <w:rPr>
          <w:b/>
        </w:rPr>
        <w:t>contagem de FP</w:t>
      </w:r>
      <w:r>
        <w:t xml:space="preserve"> — o pipeline já a produz de forma auditável.</w:t>
      </w:r>
    </w:p>
    <w:p>
      <w:pPr>
        <w:pStyle w:val="Heading4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 xml:space="preserve">Modelo C — POC de Preço Fixo → Escala por Onda </w:t>
      </w:r>
      <w:r>
        <w:rPr>
          <w:rFonts w:ascii="Segoe UI" w:hAnsi="Segoe UI"/>
          <w:i/>
          <w:color w:val="004B87"/>
        </w:rPr>
        <w:t>(recomendado para esta oportunidade)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Fase contratual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Duração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Base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Fase 0 — POC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1 sistema · F0→F3S + F4 em 1 BC piloto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3–4 semanas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Preço fixo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Fase 1 — Onda 1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Implementação da onda de baixa complexidade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conforme wave model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Preço fixo por onda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Fase 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Ondas subsequentes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conforme plano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Preço fixo por onda</w:t>
            </w:r>
          </w:p>
        </w:tc>
      </w:tr>
    </w:tbl>
    <w:p/>
    <w:p>
      <w:pPr>
        <w:jc w:val="both"/>
      </w:pPr>
      <w:r>
        <w:rPr>
          <w:b/>
        </w:rPr>
        <w:t>Quando usar:</w:t>
      </w:r>
      <w:r>
        <w:t xml:space="preserve"> entrada em cliente novo — </w:t>
      </w:r>
      <w:r>
        <w:rPr>
          <w:b/>
        </w:rPr>
        <w:t>é o modelo indicado para esta POC bancária</w:t>
      </w:r>
      <w:r>
        <w:t xml:space="preserve">. </w:t>
      </w:r>
      <w:r>
        <w:rPr>
          <w:b/>
        </w:rPr>
        <w:t>Vantagem:</w:t>
      </w:r>
      <w:r>
        <w:t xml:space="preserve"> risco limitado para o banco; cada onda tem escopo, critério de aceite e gate próprios.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6.4 Estrutura da POC (proposta)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3264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Duração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Semana 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Onboarding, acesso ao repositório legado, configuração de stack e política de segurança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5 d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Semana 2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Execução F0→F2 + apresentação do AS-IS e do TO-BE ao comitê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5 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Semana 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Execução F3→F3S + validação do backlog com squads do banco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5 d</w:t>
            </w:r>
          </w:p>
        </w:tc>
      </w:tr>
      <w:tr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Semana 4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F4 no BC piloto + Security &amp; Compliance Report + apresentação executiva</w:t>
            </w:r>
          </w:p>
        </w:tc>
        <w:tc>
          <w:tcPr>
            <w:tcW w:type="dxa" w:w="3264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5 d</w:t>
            </w:r>
          </w:p>
        </w:tc>
      </w:tr>
    </w:tbl>
    <w:p/>
    <w:p>
      <w:pPr>
        <w:jc w:val="both"/>
      </w:pPr>
      <w:r>
        <w:rPr>
          <w:b/>
        </w:rPr>
        <w:t>Entregáveis contratuais da POC:</w:t>
      </w:r>
      <w:r>
        <w:t xml:space="preserve"> os 12 principais entregáveis da §5.2 + relatório de aderência + recomendação de roadmap.</w:t>
      </w:r>
    </w:p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6.5 Premissas comerciais e condições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Premissa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O banco fornece acesso de leitura ao repositório legado e ao dicionário de dados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 modelo de IA executa em ambiente aprovado pelo banco (nuvem privada ou tenant dedicado) — </w:t>
            </w:r>
            <w:r>
              <w:rPr>
                <w:b/>
                <w:sz w:val="18"/>
              </w:rPr>
              <w:t>definir antes da POC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P3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 código-fonte do cliente </w:t>
            </w:r>
            <w:r>
              <w:rPr>
                <w:b/>
                <w:sz w:val="18"/>
              </w:rPr>
              <w:t>não</w:t>
            </w:r>
            <w:r>
              <w:rPr>
                <w:sz w:val="18"/>
              </w:rPr>
              <w:t xml:space="preserve"> é usado para treinamento de modelo — cláusula contratual obrigatória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P4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 propriedade intelectual dos artefatos gerados é do banco; a plataforma permanece da Avanade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P5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Os gates de segurança do banco (SAST/DAST/pentest) são integrados, não substituídos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P6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Versão da plataforma congelada durante a POC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P7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Alocação do banco: 1 arquiteto + 1 tech lead + 1 analista de negócio (part-time)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6.6 Argumento de ROI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Baseline tradicional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 AVA Fabric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Ganho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Discovery + arquitetura + backlog (254 KLOC)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6–10 semanas de squad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4 h de máquina</w:t>
            </w:r>
            <w:r>
              <w:rPr>
                <w:sz w:val="18"/>
              </w:rPr>
              <w:t xml:space="preserve"> + 1–2 semanas de validação humana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~70–80% de redução</w:t>
            </w:r>
            <w:r>
              <w:rPr>
                <w:sz w:val="18"/>
              </w:rPr>
              <w:t xml:space="preserve"> no ciclo de planejamento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Rastreabilidade regra → código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Manual, parcial, não auditável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394 tasks com </w:t>
            </w:r>
            <w:r>
              <w:rPr>
                <w:rFonts w:ascii="Consolas" w:hAnsi="Consolas"/>
                <w:color w:val="8A2B2B"/>
                <w:sz w:val="18"/>
              </w:rPr>
              <w:t>source_refs</w:t>
            </w:r>
            <w:r>
              <w:rPr>
                <w:sz w:val="18"/>
              </w:rPr>
              <w:t xml:space="preserve"> automáticos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Auditoria viabilizada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Estimativa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Julgamento de especialista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FP/SP/horas com fórmula e contingência explícitas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Defensável em comitê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Custo de IA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≈ US$ 800–1.100 por migração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Irrelevante frente a 3.323 h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Implementação (F4)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100% humano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Assistido, com humano no gate de build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 quantificar na POC</w:t>
            </w:r>
          </w:p>
        </w:tc>
      </w:tr>
    </w:tbl>
    <w:p/>
    <w:p>
      <w:pPr>
        <w:pBdr>
          <w:bottom w:val="single" w:sz="6" w:color="C9D2DD"/>
        </w:pBdr>
      </w:pPr>
    </w:p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7. Riscos da POC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5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95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95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95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R1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gate do F4 falhar novamente e frustrar expectativa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Alta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Médio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Posicionar F4 como </w:t>
            </w:r>
            <w:r>
              <w:rPr>
                <w:b/>
                <w:sz w:val="18"/>
              </w:rPr>
              <w:t>assistido</w:t>
            </w:r>
            <w:r>
              <w:rPr>
                <w:sz w:val="18"/>
              </w:rPr>
              <w:t xml:space="preserve"> desde o kickoff; corrigir NU1008 e containerizar toolchain antes da POC</w:t>
            </w:r>
          </w:p>
        </w:tc>
      </w:tr>
      <w:tr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R2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Política do banco impedir envio de código a modelo externo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Alto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Definir modo de execução (VPC/tenant dedicado) </w:t>
            </w:r>
            <w:r>
              <w:rPr>
                <w:b/>
                <w:sz w:val="18"/>
              </w:rPr>
              <w:t>na semana 0</w:t>
            </w:r>
            <w:r>
              <w:rPr>
                <w:sz w:val="18"/>
              </w:rPr>
              <w:t>; ter alternativa on-premise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R3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Legado do banco em COBOL/mainframe com peculiaridades não cobertas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Médio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Escolher sistema piloto em tecnologia já validada (.NET/Delphi/VB)</w:t>
            </w:r>
          </w:p>
        </w:tc>
      </w:tr>
      <w:tr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R4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Expectativa de "IA que migra sozinha"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Alta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Alto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Comunicar os índices da §3 com transparência: 98% em planejamento, assistido em codegen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R5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Reexecuções de fase inflarem prazo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Baixo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Congelar versão; usar branch estabilizado; </w:t>
            </w:r>
            <w:r>
              <w:rPr>
                <w:rFonts w:ascii="Consolas" w:hAnsi="Consolas"/>
                <w:color w:val="8A2B2B"/>
                <w:sz w:val="18"/>
              </w:rPr>
              <w:t>runner-state</w:t>
            </w:r>
            <w:r>
              <w:rPr>
                <w:sz w:val="18"/>
              </w:rPr>
              <w:t xml:space="preserve"> permite retomada sem reprocessar</w:t>
            </w:r>
          </w:p>
        </w:tc>
      </w:tr>
      <w:tr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R6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 de segurança ficar CONDITIONAL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Alta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Médio</w:t>
            </w:r>
          </w:p>
        </w:tc>
        <w:tc>
          <w:tcPr>
            <w:tcW w:type="dxa" w:w="195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Habilitar </w:t>
            </w:r>
            <w:r>
              <w:rPr>
                <w:rFonts w:ascii="Consolas" w:hAnsi="Consolas"/>
                <w:color w:val="8A2B2B"/>
                <w:sz w:val="18"/>
              </w:rPr>
              <w:t>security_enabled_asis/tobe: true</w:t>
            </w:r>
            <w:r>
              <w:rPr>
                <w:sz w:val="18"/>
              </w:rPr>
              <w:t xml:space="preserve"> e plugar SAST/DAST do banco desde o início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R7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Validação das 436 regras de negócio pelo negócio do banco demorar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>Médio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Usar </w:t>
            </w:r>
            <w:r>
              <w:rPr>
                <w:rFonts w:ascii="Consolas" w:hAnsi="Consolas"/>
                <w:color w:val="8A2B2B"/>
                <w:sz w:val="18"/>
              </w:rPr>
              <w:t>review_pack.csv</w:t>
            </w:r>
            <w:r>
              <w:rPr>
                <w:sz w:val="18"/>
              </w:rPr>
              <w:t xml:space="preserve"> para revisão em lote; priorizar regras dos BCs do piloto</w:t>
            </w:r>
          </w:p>
        </w:tc>
      </w:tr>
    </w:tbl>
    <w:p/>
    <w:p>
      <w:pPr>
        <w:pBdr>
          <w:bottom w:val="single" w:sz="6" w:color="C9D2DD"/>
        </w:pBdr>
      </w:pPr>
    </w:p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8. Roteiro de Demonstração (90 minutos)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 que mostrar</w:t>
            </w:r>
          </w:p>
        </w:tc>
        <w:tc>
          <w:tcPr>
            <w:tcW w:type="dxa" w:w="2448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Mensagem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0–10 min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Contexto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Diagrama do pipeline F0→F8 e os 110 agentes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"Não é um chatbot, é uma linha de produção"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10–25 min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AS-IS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master-report.md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metrics.json</w:t>
            </w:r>
            <w:r>
              <w:rPr>
                <w:sz w:val="18"/>
              </w:rPr>
              <w:t>, C4, ER diagram, catálogo de 436 regras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"254 mil linhas compreendidas em 38 minutos"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25–40 min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TO-BE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Blueprint, 8 ADRs, bounded context map, OpenAPI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"Arquitetura com decisões justificadas e contratos"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40–50 min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Plano e número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Effort calculator (3.323 h / 892 FP), wave model, Gantt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"Número defensável em comitê de investimento"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50–60 min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Protótipo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prototype/index.html</w:t>
            </w:r>
            <w:r>
              <w:rPr>
                <w:sz w:val="18"/>
              </w:rPr>
              <w:t xml:space="preserve"> navegável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"O negócio valida a tela antes de existir código"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60–72 min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Backlog executável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traceability.csv</w:t>
            </w:r>
            <w:r>
              <w:rPr>
                <w:sz w:val="18"/>
              </w:rPr>
              <w:t>, grafo de 2.991 dependências, 15 ondas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"Squads do banco recebem trabalho pronto e rastreável"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72–82 min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Segurança e compliance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Report: LGPD Arts. 46–50, STRIDE, checklist de pentest, linhas CISO/DPO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"Compliance por construção"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82–90 min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Transparência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pipeline-status.html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2B2B"/>
                <w:sz w:val="18"/>
              </w:rPr>
              <w:t>GENERATION_LOG.md</w:t>
            </w:r>
            <w:r>
              <w:rPr>
                <w:sz w:val="18"/>
              </w:rPr>
              <w:t xml:space="preserve"> com a falha real de build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"Mostramos inclusive o que falhou — e por quê"</w:t>
            </w:r>
          </w:p>
        </w:tc>
      </w:tr>
    </w:tbl>
    <w:p/>
    <w:p>
      <w:pPr>
        <w:ind w:left="432"/>
        <w:pBdr>
          <w:left w:val="single" w:sz="18" w:space="8" w:color="004B87"/>
        </w:pBdr>
      </w:pPr>
      <w:r>
        <w:rPr>
          <w:b/>
          <w:i/>
          <w:color w:val="555F6D"/>
        </w:rPr>
        <w:t>Recomendação de tom:</w:t>
      </w:r>
      <w:r>
        <w:rPr>
          <w:i/>
          <w:color w:val="555F6D"/>
        </w:rPr>
        <w:t xml:space="preserve"> abrir o </w:t>
      </w:r>
      <w:r>
        <w:rPr>
          <w:rFonts w:ascii="Consolas" w:hAnsi="Consolas"/>
          <w:i/>
          <w:color w:val="555F6D"/>
          <w:sz w:val="18"/>
        </w:rPr>
        <w:t>GENERATION_LOG.md</w:t>
      </w:r>
      <w:r>
        <w:rPr>
          <w:i/>
          <w:color w:val="555F6D"/>
        </w:rPr>
        <w:t xml:space="preserve"> com a falha de build é um </w:t>
      </w:r>
      <w:r>
        <w:rPr>
          <w:b/>
          <w:i/>
          <w:color w:val="555F6D"/>
        </w:rPr>
        <w:t>ativo de credibilidade</w:t>
      </w:r>
      <w:r>
        <w:rPr>
          <w:i/>
          <w:color w:val="555F6D"/>
        </w:rPr>
        <w:t xml:space="preserve"> em conversa com banco. Demonstra que o produto instrumenta e reporta falha em vez de mascará-la — exatamente o comportamento que uma área de riscos precisa ver.</w:t>
      </w:r>
    </w:p>
    <w:p>
      <w:pPr>
        <w:pBdr>
          <w:bottom w:val="single" w:sz="6" w:color="C9D2DD"/>
        </w:pBdr>
      </w:pPr>
    </w:p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9. Conclusão e Recomendação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Pergunta do cliente</w:t>
            </w:r>
          </w:p>
        </w:tc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Resposta baseada em evidência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O produto está maduro?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Sim para análise, arquitetura e planejamento</w:t>
            </w:r>
            <w:r>
              <w:rPr>
                <w:sz w:val="18"/>
              </w:rPr>
              <w:t xml:space="preserve"> (F0–F3S em GA, gates 92,5%–100%). </w:t>
            </w:r>
            <w:r>
              <w:rPr>
                <w:b/>
                <w:sz w:val="18"/>
              </w:rPr>
              <w:t>Beta para geração de código</w:t>
            </w:r>
            <w:r>
              <w:rPr>
                <w:sz w:val="18"/>
              </w:rPr>
              <w:t xml:space="preserve"> (F4).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Qual a assertividade?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98% de conformidade de artefato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100% de rastreabilidade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0% de prontidão de build no F4 na 1ª passada</w:t>
            </w:r>
            <w:r>
              <w:rPr>
                <w:sz w:val="18"/>
              </w:rPr>
              <w:t xml:space="preserve"> — com causa raiz identificada e corrigível.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Serve para o meu caso?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Sim para inventário de regras, assessment regulatório, arquitetura TO-BE, estimativa e backlog. Codegen deve entrar como </w:t>
            </w:r>
            <w:r>
              <w:rPr>
                <w:b/>
                <w:sz w:val="18"/>
              </w:rPr>
              <w:t>piloto assistido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O que eu recebo?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232 artefatos</w:t>
            </w:r>
            <w:r>
              <w:rPr>
                <w:sz w:val="18"/>
              </w:rPr>
              <w:t>, dos quais 12 são de nível executivo/regulatório — incluindo Security &amp; Compliance Report com linhas de assinatura de CISO e DPO.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Fico preso à ferramenta?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Não.</w:t>
            </w:r>
            <w:r>
              <w:rPr>
                <w:sz w:val="18"/>
              </w:rPr>
              <w:t xml:space="preserve"> O TO-BE é modular, contratado por OpenAPI, com ADRs e IaC — evolui de forma autônoma.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Quanto custa?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Custo de IA medido: </w:t>
            </w:r>
            <w:r>
              <w:rPr>
                <w:b/>
                <w:sz w:val="18"/>
              </w:rPr>
              <w:t>≈ US$ 800–1.100 por migração deste porte</w:t>
            </w:r>
            <w:r>
              <w:rPr>
                <w:sz w:val="18"/>
              </w:rPr>
              <w:t xml:space="preserve">. A precificação proposta é por </w:t>
            </w:r>
            <w:r>
              <w:rPr>
                <w:b/>
                <w:sz w:val="18"/>
              </w:rPr>
              <w:t>valor</w:t>
            </w:r>
            <w:r>
              <w:rPr>
                <w:sz w:val="18"/>
              </w:rPr>
              <w:t xml:space="preserve"> (Modelo C para a POC).</w:t>
            </w:r>
          </w:p>
        </w:tc>
      </w:tr>
    </w:tbl>
    <w:p/>
    <w:p>
      <w:pPr>
        <w:pStyle w:val="Heading3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Recomendação final</w:t>
      </w:r>
    </w:p>
    <w:p>
      <w:pPr>
        <w:jc w:val="both"/>
      </w:pPr>
      <w:r>
        <w:rPr>
          <w:b/>
        </w:rPr>
        <w:t>Aprovar a POC no Modelo C (preço fixo, 4 semanas)</w:t>
      </w:r>
      <w:r>
        <w:t xml:space="preserve">, com escopo </w:t>
      </w:r>
      <w:r>
        <w:rPr>
          <w:b/>
        </w:rPr>
        <w:t>F0→F3S completo + F4 em 1 bounded context piloto</w:t>
      </w:r>
      <w:r>
        <w:t xml:space="preserve">, </w:t>
      </w:r>
      <w:r>
        <w:rPr>
          <w:rFonts w:ascii="Consolas" w:hAnsi="Consolas"/>
          <w:color w:val="8A2B2B"/>
          <w:sz w:val="18"/>
        </w:rPr>
        <w:t>security_enabled_*: true</w:t>
      </w:r>
      <w:r>
        <w:t xml:space="preserve">, stack-alvo </w:t>
      </w:r>
      <w:r>
        <w:rPr>
          <w:b/>
        </w:rPr>
        <w:t>.NET 8 + Angular</w:t>
      </w:r>
      <w:r>
        <w:t>, execução em ambiente aprovado pelo banco.</w:t>
      </w:r>
    </w:p>
    <w:p>
      <w:pPr>
        <w:jc w:val="both"/>
      </w:pPr>
      <w:r>
        <w:rPr>
          <w:b/>
        </w:rPr>
        <w:t>Pré-requisitos a resolver antes do kickoff:</w:t>
      </w:r>
    </w:p>
    <w:p>
      <w:pPr>
        <w:pStyle w:val="ListNumber"/>
      </w:pPr>
      <w:r>
        <w:t>Corrigir NU1008 no template de scaffold .NET.</w:t>
      </w:r>
    </w:p>
    <w:p>
      <w:pPr>
        <w:pStyle w:val="ListNumber"/>
      </w:pPr>
      <w:r>
        <w:t>Containerizar o runtime de verificação (.NET SDK + Angular CLI).</w:t>
      </w:r>
    </w:p>
    <w:p>
      <w:pPr>
        <w:pStyle w:val="ListNumber"/>
      </w:pPr>
      <w:r>
        <w:t>Definir e homologar o modo de execução do modelo de IA com a área de segurança do banco.</w:t>
      </w:r>
    </w:p>
    <w:p>
      <w:pPr>
        <w:pStyle w:val="ListNumber"/>
      </w:pPr>
      <w:r>
        <w:t>Congelar a versão da plataforma.</w:t>
      </w:r>
    </w:p>
    <w:p>
      <w:pPr>
        <w:pBdr>
          <w:bottom w:val="single" w:sz="6" w:color="C9D2DD"/>
        </w:pBdr>
      </w:pPr>
    </w:p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Anexo A — Fontes de Evidência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Afirmação</w:t>
            </w:r>
          </w:p>
        </w:tc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Métricas do legado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projects/nopcommerce-04/outputs/asis/metrics.json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Catálogo de regras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projects/nopcommerce-04/outputs/asis/ast-raw/dotnet/brs/business_rules_catalog.json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Readiness gate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projects/nopcommerce-04/outputs/readiness-gate/wave-1/readiness-gate-status.json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 SpecKit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projects/nopcommerce-04/outputs/tobe/speckit/compliance-status.json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Grafo de tasks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projects/nopcommerce-04/outputs/tobe/speckit/traceability.json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 das tasks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projects/nopcommerce-04/outputs/tobe/speckit/tasks-state.json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Métricas de execução F4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projects/nopcommerce-04/outputs/pipeline_runner/runner-state.json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Falhas de build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projects/nopcommerce-04/outputs/tobe/source-code/{dotnet,angular}/GENERATION_LOG.md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Estimativa de esforço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projects/nopcommerce-04/outputs/tobe/docs/effort-calculator.md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8A2B2B"/>
                <w:sz w:val="18"/>
              </w:rPr>
              <w:t>ai-estimation-report.md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Segurança e compliance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projects/nopcommerce-04/outputs/deliverables/security-compliance-{report.md,summary.json}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Composição de agentes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python src/shared/tools/agent_registry.py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8A2B2B"/>
                <w:sz w:val="18"/>
              </w:rPr>
              <w:t>module.yaml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Catálogo de agentes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2B2B"/>
                <w:sz w:val="18"/>
              </w:rPr>
              <w:t>docs/agents-catalog.md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04B87"/>
        </w:rPr>
      </w:r>
      <w:r>
        <w:rPr>
          <w:rFonts w:ascii="Segoe UI" w:hAnsi="Segoe UI"/>
          <w:color w:val="004B87"/>
        </w:rPr>
        <w:t>Anexo B —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4896"/>
            <w:shd w:val="clear" w:color="auto" w:fill="004B87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AS-IS / TO-BE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 atual do legado / estado-alvo modernizado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BC (Bounded Context)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Fronteira de domínio com modelo e linguagem próprios (DDD)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Árvore sintática abstrata — análise determinística de código, sem inferência de IA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ADR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Architecture Decision Record — decisão arquitetural registrada com contexto e consequências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SpecKit (F3S)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Camada que converte arquitetura em specs, planos e tasks executáveis rastreáveis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Wave / Onda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Agrupamento de bounded contexts migrados juntos, por complexidade e dependência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Gate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Ponto de verificação bloqueante entre fases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FP / SP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Ponto de Função / Story Point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Strangler Fig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Padrão de substituição incremental do legado, sem big bang</w:t>
            </w:r>
          </w:p>
        </w:tc>
      </w:tr>
      <w:tr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Z-Curve</w:t>
            </w:r>
          </w:p>
        </w:tc>
        <w:tc>
          <w:tcPr>
            <w:tcW w:type="dxa" w:w="4896"/>
            <w:shd w:val="clear" w:color="auto" w:fill="F2F6FA"/>
          </w:tcPr>
          <w:p>
            <w:r>
              <w:rPr>
                <w:sz w:val="18"/>
              </w:rPr>
            </w:r>
            <w:r>
              <w:rPr>
                <w:sz w:val="18"/>
              </w:rPr>
              <w:t>Loop de remediação iterativa de vulnerabilidades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Grafo dirigido acíclico — garante que não há dependência circular entre tasks</w:t>
            </w:r>
          </w:p>
        </w:tc>
      </w:tr>
    </w:tbl>
    <w:p/>
    <w:p>
      <w:pPr>
        <w:pBdr>
          <w:bottom w:val="single" w:sz="6" w:color="C9D2DD"/>
        </w:pBdr>
      </w:pPr>
    </w:p>
    <w:p>
      <w:pPr>
        <w:jc w:val="both"/>
      </w:pPr>
      <w:r>
        <w:rPr>
          <w:i/>
        </w:rPr>
        <w:t>Documento gerado a partir de evidência de execução real. Nenhum número deste relatório é estimado sem indicação explícita.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