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44"/>
        <w:pBdr/>
        <w:spacing/>
        <w:ind/>
        <w:rPr>
          <w:rFonts w:ascii="Aptos" w:hAnsi="Aptos" w:eastAsia="Aptos" w:cs="Aptos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pPr>
      <w:r>
        <w:rPr>
          <w:lang w:val="en-US"/>
        </w:rPr>
        <w:t xml:space="preserve">ME Expert IT – Applications </w:t>
      </w:r>
      <w:r>
        <w:rPr>
          <w:lang w:val="en-US"/>
        </w:rPr>
        <w:t xml:space="preserve">Intelligentes</w:t>
      </w:r>
      <w:r>
        <w:rPr>
          <w:lang w:val="en-US"/>
        </w:rPr>
        <w:t xml:space="preserve"> et Big Data (1ère </w:t>
      </w:r>
      <w:r>
        <w:rPr>
          <w:lang w:val="en-US"/>
        </w:rPr>
        <w:t xml:space="preserve">année</w:t>
      </w:r>
      <w:r>
        <w:rPr>
          <w:lang w:val="en-US"/>
        </w:rPr>
        <w:t xml:space="preserve">)</w:t>
      </w:r>
      <w:r>
        <w:br/>
      </w:r>
      <w:r>
        <w:rPr>
          <w:rFonts w:ascii="Aptos" w:hAnsi="Aptos" w:eastAsia="Aptos" w:cs="Aptos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</w:p>
    <w:p>
      <w:pPr>
        <w:pStyle w:val="646"/>
        <w:pBdr/>
        <w:spacing/>
        <w:ind/>
        <w:rPr>
          <w:lang w:val="fr-FR"/>
        </w:rPr>
      </w:pPr>
      <w:r>
        <w:rPr>
          <w:lang w:val="fr-FR"/>
        </w:rPr>
        <w:t xml:space="preserve">Projet d’expertise évalué : « Projet JEE, Spring, MongoDB » : programmation d’un web service REST avec Spring et </w:t>
      </w:r>
      <w:r>
        <w:rPr>
          <w:lang w:val="fr-FR"/>
        </w:rPr>
        <w:t xml:space="preserve">MongoDB</w:t>
      </w:r>
      <w:r/>
      <w:r>
        <w:rPr>
          <w:lang w:val="fr-FR"/>
        </w:rPr>
      </w:r>
      <w:r>
        <w:rPr>
          <w:lang w:val="fr-FR"/>
        </w:rPr>
      </w:r>
    </w:p>
    <w:p>
      <w:pPr>
        <w:pStyle w:val="639"/>
        <w:pBdr/>
        <w:spacing/>
        <w:ind/>
        <w:rPr>
          <w:lang w:val="fr-FR"/>
        </w:rPr>
      </w:pPr>
      <w:r>
        <w:br/>
      </w:r>
      <w:r>
        <w:rPr>
          <w:rStyle w:val="648"/>
          <w:lang w:val="fr-FR"/>
        </w:rPr>
        <w:t xml:space="preserve">Spécifications</w:t>
      </w:r>
      <w:r>
        <w:rPr>
          <w:lang w:val="fr-FR"/>
        </w:rPr>
      </w:r>
    </w:p>
    <w:p>
      <w:pPr>
        <w:pStyle w:val="639"/>
        <w:suppressLineNumbers w:val="false"/>
        <w:pBdr/>
        <w:bidi w:val="false"/>
        <w:spacing w:after="160" w:afterAutospacing="0" w:before="0" w:beforeAutospacing="0" w:line="279" w:lineRule="auto"/>
        <w:ind w:right="0" w:left="0"/>
        <w:jc w:val="left"/>
        <w:rPr>
          <w:lang w:val="fr-FR"/>
        </w:rPr>
      </w:pPr>
      <w:r>
        <w:rPr>
          <w:lang w:val="fr-FR"/>
        </w:rPr>
        <w:t xml:space="preserve">Construire une API REST basée sur </w:t>
      </w:r>
      <w:r>
        <w:rPr>
          <w:lang w:val="fr-FR"/>
        </w:rPr>
        <w:t xml:space="preserve">Spring </w:t>
      </w:r>
      <w:r>
        <w:rPr>
          <w:lang w:val="fr-FR"/>
        </w:rPr>
        <w:t xml:space="preserve">:</w:t>
      </w:r>
      <w:r>
        <w:rPr>
          <w:lang w:val="fr-FR"/>
        </w:rPr>
        <w:t xml:space="preserve"> </w:t>
      </w:r>
      <w:r>
        <w:rPr>
          <w:lang w:val="fr-FR"/>
        </w:rPr>
        <w:t xml:space="preserve">Framework v6, </w:t>
      </w:r>
      <w:r>
        <w:rPr>
          <w:lang w:val="fr-FR"/>
        </w:rPr>
        <w:t xml:space="preserve">Boot</w:t>
      </w:r>
      <w:r>
        <w:rPr>
          <w:lang w:val="fr-FR"/>
        </w:rPr>
        <w:t xml:space="preserve"> </w:t>
      </w:r>
      <w:r>
        <w:rPr>
          <w:lang w:val="fr-FR"/>
        </w:rPr>
        <w:t xml:space="preserve">v</w:t>
      </w:r>
      <w:r>
        <w:rPr>
          <w:lang w:val="fr-FR"/>
        </w:rPr>
        <w:t xml:space="preserve">3</w:t>
      </w:r>
      <w:r>
        <w:rPr>
          <w:lang w:val="fr-FR"/>
        </w:rPr>
        <w:t xml:space="preserve">, Web et Security</w:t>
      </w:r>
      <w:r>
        <w:br/>
      </w:r>
      <w:r>
        <w:rPr>
          <w:lang w:val="fr-FR"/>
        </w:rPr>
        <w:t xml:space="preserve">Cette api pourra se connecter à une base de données </w:t>
      </w:r>
      <w:r>
        <w:rPr>
          <w:lang w:val="fr-FR"/>
        </w:rPr>
        <w:t xml:space="preserve">MongoDB</w:t>
      </w:r>
      <w:r/>
      <w:r>
        <w:rPr>
          <w:lang w:val="fr-FR"/>
        </w:rPr>
      </w:r>
      <w:r>
        <w:rPr>
          <w:lang w:val="fr-FR"/>
        </w:rPr>
        <w:t xml:space="preserve"> via une modification de la configuration.</w:t>
      </w:r>
      <w:r>
        <w:rPr>
          <w:lang w:val="fr-FR"/>
        </w:rPr>
      </w:r>
    </w:p>
    <w:p>
      <w:pPr>
        <w:pStyle w:val="649"/>
        <w:numPr>
          <w:ilvl w:val="0"/>
          <w:numId w:val="4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>
          <w:lang w:val="fr-FR"/>
        </w:rPr>
      </w:pPr>
      <w:r>
        <w:rPr>
          <w:lang w:val="fr-FR"/>
        </w:rPr>
        <w:t xml:space="preserve">Définir une structure de projet Java Spring</w:t>
      </w:r>
      <w:r>
        <w:rPr>
          <w:lang w:val="fr-FR"/>
        </w:rPr>
        <w:t xml:space="preserve"> (dernière version)</w:t>
      </w:r>
      <w:r>
        <w:br/>
      </w:r>
      <w:r>
        <w:rPr>
          <w:lang w:val="fr-FR"/>
        </w:rPr>
      </w:r>
    </w:p>
    <w:p>
      <w:pPr>
        <w:pStyle w:val="649"/>
        <w:numPr>
          <w:ilvl w:val="0"/>
          <w:numId w:val="4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>
          <w:lang w:val="fr-FR"/>
        </w:rPr>
      </w:pPr>
      <w:r>
        <w:rPr>
          <w:lang w:val="fr-FR"/>
        </w:rPr>
        <w:t xml:space="preserve">Traduire le MCD suivant en entités mappées avec des tables en base de données</w:t>
      </w:r>
      <w:r>
        <w:rPr>
          <w:lang w:val="fr-FR"/>
        </w:rPr>
        <w:t xml:space="preserve"> </w:t>
      </w:r>
      <w:r>
        <w:rPr>
          <w:lang w:val="fr-FR"/>
        </w:rPr>
        <w:t xml:space="preserve">:</w:t>
      </w:r>
      <w:r>
        <w:rPr>
          <w:lang w:val="fr-FR"/>
        </w:rPr>
      </w:r>
    </w:p>
    <w:p>
      <w:pPr>
        <w:pStyle w:val="649"/>
        <w:suppressLineNumbers w:val="false"/>
        <w:pBdr/>
        <w:bidi w:val="false"/>
        <w:spacing w:after="160" w:afterAutospacing="0" w:before="0" w:beforeAutospacing="0" w:line="279" w:lineRule="auto"/>
        <w:ind w:right="0" w:firstLine="0" w:left="72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47551" cy="2615854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447551" cy="26158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0.20pt;height:205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49"/>
        <w:numPr>
          <w:ilvl w:val="0"/>
          <w:numId w:val="4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Définir les contrôleurs REST permettant de :</w:t>
      </w:r>
      <w:r/>
    </w:p>
    <w:p>
      <w:pPr>
        <w:pStyle w:val="649"/>
        <w:numPr>
          <w:ilvl w:val="1"/>
          <w:numId w:val="1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Se connecter à l’API</w:t>
      </w:r>
      <w:r>
        <w:t xml:space="preserve"> via login/pwd</w:t>
      </w:r>
      <w:r>
        <w:t xml:space="preserve"> et récupérer un jeton JWT</w:t>
      </w:r>
      <w:r/>
    </w:p>
    <w:p>
      <w:pPr>
        <w:pStyle w:val="649"/>
        <w:numPr>
          <w:ilvl w:val="1"/>
          <w:numId w:val="3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Récupérer l’ensemble des patients avec pagination et une recherche optionnelle sur le nom ou le numéro de sécurité sociale</w:t>
      </w:r>
      <w:r>
        <w:t xml:space="preserve">.</w:t>
      </w:r>
      <w:r/>
    </w:p>
    <w:p>
      <w:pPr>
        <w:pStyle w:val="649"/>
        <w:numPr>
          <w:ilvl w:val="1"/>
          <w:numId w:val="3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Lister avec pagination l’ensemble des médecins, recherche optionnelle sur le nom ou le matricule</w:t>
      </w:r>
      <w:r>
        <w:t xml:space="preserve">.</w:t>
      </w:r>
      <w:r/>
    </w:p>
    <w:p>
      <w:pPr>
        <w:pStyle w:val="649"/>
        <w:numPr>
          <w:ilvl w:val="1"/>
          <w:numId w:val="3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Lister avec pagination l’ensemble des consultations d’un patient donné</w:t>
      </w:r>
      <w:r>
        <w:t xml:space="preserve">.</w:t>
      </w:r>
      <w:r/>
    </w:p>
    <w:p>
      <w:pPr>
        <w:pStyle w:val="649"/>
        <w:numPr>
          <w:ilvl w:val="1"/>
          <w:numId w:val="3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Détailler les médicaments prescrits dans une consultation</w:t>
      </w:r>
      <w:r>
        <w:t xml:space="preserve">.</w:t>
      </w:r>
      <w:r/>
    </w:p>
    <w:p>
      <w:pPr>
        <w:pStyle w:val="649"/>
        <w:numPr>
          <w:ilvl w:val="1"/>
          <w:numId w:val="3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Ajouter, modifier ou supprimer une consultation programmée (à l’avenir)</w:t>
      </w:r>
      <w:r>
        <w:t xml:space="preserve">.</w:t>
      </w:r>
      <w:r/>
    </w:p>
    <w:p>
      <w:pPr>
        <w:pStyle w:val="649"/>
        <w:numPr>
          <w:ilvl w:val="1"/>
          <w:numId w:val="3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Modifier la prescription de médicaments d’une consultation</w:t>
      </w:r>
      <w:r>
        <w:t xml:space="preserve">.</w:t>
      </w:r>
      <w:r/>
    </w:p>
    <w:p>
      <w:pPr>
        <w:pStyle w:val="649"/>
        <w:numPr>
          <w:ilvl w:val="1"/>
          <w:numId w:val="3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On peut joindre un document (fichier) à la consultation</w:t>
      </w:r>
      <w:r/>
    </w:p>
    <w:p>
      <w:pPr>
        <w:pStyle w:val="649"/>
        <w:numPr>
          <w:ilvl w:val="0"/>
          <w:numId w:val="4"/>
        </w:numPr>
        <w:suppressLineNumbers w:val="false"/>
        <w:pBdr/>
        <w:bidi w:val="false"/>
        <w:spacing w:after="160" w:afterAutospacing="0" w:before="0" w:beforeAutospacing="0" w:line="279" w:lineRule="auto"/>
        <w:ind w:right="0"/>
        <w:jc w:val="left"/>
        <w:rPr/>
      </w:pPr>
      <w:r>
        <w:t xml:space="preserve">Configurer la sécurité de l’API (Spring Security)</w:t>
      </w:r>
      <w:r/>
    </w:p>
    <w:p>
      <w:pPr>
        <w:pStyle w:val="639"/>
        <w:suppressLineNumbers w:val="false"/>
        <w:pBdr/>
        <w:bidi w:val="false"/>
        <w:spacing w:after="160" w:afterAutospacing="0" w:before="0" w:beforeAutospacing="0" w:line="279" w:lineRule="auto"/>
        <w:ind w:right="0" w:firstLine="0" w:left="720"/>
        <w:jc w:val="left"/>
        <w:rPr/>
      </w:pPr>
      <w:r/>
      <w:r/>
    </w:p>
    <w:p>
      <w:pPr>
        <w:pStyle w:val="639"/>
        <w:pBdr/>
        <w:spacing/>
        <w:ind/>
        <w:rPr>
          <w:lang w:val="fr-FR"/>
        </w:rPr>
      </w:pPr>
      <w:r>
        <w:rPr>
          <w:rStyle w:val="648"/>
          <w:lang w:val="fr-FR"/>
        </w:rPr>
        <w:t xml:space="preserve">Durée</w:t>
      </w:r>
      <w:r>
        <w:br/>
      </w:r>
      <w:r>
        <w:rPr>
          <w:lang w:val="fr-FR"/>
        </w:rPr>
        <w:t xml:space="preserve">- </w:t>
      </w:r>
      <w:r>
        <w:rPr>
          <w:lang w:val="fr-FR"/>
        </w:rPr>
        <w:t xml:space="preserve">Ecrit/</w:t>
      </w:r>
      <w:r>
        <w:rPr>
          <w:lang w:val="fr-FR"/>
        </w:rPr>
        <w:t xml:space="preserve">Implémentation : Préparation en amont</w:t>
      </w:r>
      <w:r>
        <w:br/>
      </w:r>
      <w:r>
        <w:rPr>
          <w:lang w:val="fr-FR"/>
        </w:rPr>
        <w:t xml:space="preserve">- Oral : </w:t>
      </w:r>
      <w:r>
        <w:rPr>
          <w:lang w:val="fr-FR"/>
        </w:rPr>
        <w:t xml:space="preserve">15min (présentation 10mn / </w:t>
      </w:r>
      <w:r>
        <w:rPr>
          <w:lang w:val="fr-FR"/>
        </w:rPr>
        <w:t xml:space="preserve">Debriefing</w:t>
      </w:r>
      <w:r>
        <w:rPr>
          <w:lang w:val="fr-FR"/>
        </w:rPr>
        <w:t xml:space="preserve"> 5mn)</w:t>
      </w:r>
      <w:r>
        <w:rPr>
          <w:lang w:val="fr-FR"/>
        </w:rPr>
      </w:r>
    </w:p>
    <w:p>
      <w:pPr>
        <w:pStyle w:val="647"/>
        <w:pBdr/>
        <w:spacing/>
        <w:ind/>
        <w:rPr>
          <w:lang w:val="fr-FR"/>
        </w:rPr>
      </w:pPr>
      <w:r>
        <w:rPr>
          <w:lang w:val="fr-FR"/>
        </w:rPr>
        <w:t xml:space="preserve">Critères d'évaluation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Le projet est organisé en couches (contrôleur/services/repositories) avec éventuellement l’utilisation du pattern DTO</w:t>
      </w:r>
      <w:r>
        <w:rPr>
          <w:lang w:val="fr-FR"/>
        </w:rPr>
        <w:t xml:space="preserve">.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Le projet est correctement configuré (</w:t>
      </w:r>
      <w:r>
        <w:rPr>
          <w:lang w:val="fr-FR"/>
        </w:rPr>
        <w:t xml:space="preserve">logs, </w:t>
      </w:r>
      <w:r>
        <w:rPr>
          <w:lang w:val="fr-FR"/>
        </w:rPr>
        <w:t xml:space="preserve">cross </w:t>
      </w:r>
      <w:r>
        <w:rPr>
          <w:lang w:val="fr-FR"/>
        </w:rPr>
        <w:t xml:space="preserve">origin</w:t>
      </w:r>
      <w:r>
        <w:rPr>
          <w:lang w:val="fr-FR"/>
        </w:rPr>
        <w:t xml:space="preserve">, </w:t>
      </w:r>
      <w:r>
        <w:rPr>
          <w:lang w:val="fr-FR"/>
        </w:rPr>
        <w:t xml:space="preserve">csrf</w:t>
      </w:r>
      <w:r>
        <w:rPr>
          <w:lang w:val="fr-FR"/>
        </w:rPr>
        <w:t xml:space="preserve">, </w:t>
      </w:r>
      <w:r>
        <w:rPr>
          <w:lang w:val="fr-FR"/>
        </w:rPr>
        <w:t xml:space="preserve">etc...</w:t>
      </w:r>
      <w:r>
        <w:rPr>
          <w:lang w:val="fr-FR"/>
        </w:rPr>
        <w:t xml:space="preserve">)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Les bonnes pratiques de codage sont maîtrisées (SOLID, Tell </w:t>
      </w:r>
      <w:r>
        <w:rPr>
          <w:lang w:val="fr-FR"/>
        </w:rPr>
        <w:t xml:space="preserve">don’t</w:t>
      </w:r>
      <w:r>
        <w:rPr>
          <w:lang w:val="fr-FR"/>
        </w:rPr>
        <w:t xml:space="preserve"> </w:t>
      </w:r>
      <w:r>
        <w:rPr>
          <w:lang w:val="fr-FR"/>
        </w:rPr>
        <w:t xml:space="preserve">ask</w:t>
      </w:r>
      <w:r>
        <w:rPr>
          <w:lang w:val="fr-FR"/>
        </w:rPr>
        <w:t xml:space="preserve">, généricité, ...</w:t>
      </w:r>
      <w:r>
        <w:rPr>
          <w:lang w:val="fr-FR"/>
        </w:rPr>
        <w:t xml:space="preserve">)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Les exceptions sont gérées (individuellement ou globalement)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Le code source est documenté (</w:t>
      </w:r>
      <w:r>
        <w:rPr>
          <w:lang w:val="fr-FR"/>
        </w:rPr>
        <w:t xml:space="preserve">Javadoc</w:t>
      </w:r>
      <w:r>
        <w:rPr>
          <w:lang w:val="fr-FR"/>
        </w:rPr>
        <w:t xml:space="preserve">)</w:t>
      </w:r>
      <w:r>
        <w:rPr>
          <w:lang w:val="fr-FR"/>
        </w:rPr>
        <w:t xml:space="preserve">.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La documentation de l’API REST avec </w:t>
      </w:r>
      <w:r>
        <w:rPr>
          <w:lang w:val="fr-FR"/>
        </w:rPr>
        <w:t xml:space="preserve">OpenAPI</w:t>
      </w:r>
      <w:r>
        <w:rPr>
          <w:lang w:val="fr-FR"/>
        </w:rPr>
        <w:t xml:space="preserve"> </w:t>
      </w:r>
      <w:r>
        <w:rPr>
          <w:lang w:val="fr-FR"/>
        </w:rPr>
        <w:t xml:space="preserve">Specification</w:t>
      </w:r>
      <w:r>
        <w:rPr>
          <w:lang w:val="fr-FR"/>
        </w:rPr>
        <w:t xml:space="preserve"> (</w:t>
      </w:r>
      <w:r>
        <w:rPr>
          <w:lang w:val="fr-FR"/>
        </w:rPr>
        <w:t xml:space="preserve">Swagger</w:t>
      </w:r>
      <w:r>
        <w:rPr>
          <w:lang w:val="fr-FR"/>
        </w:rPr>
        <w:t xml:space="preserve">) est générée/disponible</w:t>
      </w:r>
      <w:r>
        <w:rPr>
          <w:lang w:val="fr-FR"/>
        </w:rPr>
        <w:t xml:space="preserve">.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La dette technique est réduite au maximum et est évaluée à l’aide de </w:t>
      </w:r>
      <w:r>
        <w:rPr>
          <w:lang w:val="fr-FR"/>
        </w:rPr>
        <w:t xml:space="preserve">SonarQube</w:t>
      </w:r>
      <w:r>
        <w:rPr>
          <w:lang w:val="fr-FR"/>
        </w:rPr>
        <w:t xml:space="preserve">.</w:t>
      </w:r>
      <w:r>
        <w:rPr>
          <w:lang w:val="fr-FR"/>
        </w:rPr>
      </w:r>
    </w:p>
    <w:p>
      <w:pPr>
        <w:pStyle w:val="649"/>
        <w:numPr>
          <w:ilvl w:val="0"/>
          <w:numId w:val="2"/>
        </w:numPr>
        <w:pBdr/>
        <w:spacing/>
        <w:ind/>
        <w:rPr>
          <w:lang w:val="fr-FR"/>
        </w:rPr>
      </w:pPr>
      <w:r>
        <w:rPr>
          <w:lang w:val="fr-FR"/>
        </w:rPr>
        <w:t xml:space="preserve">Des tests </w:t>
      </w:r>
      <w:r>
        <w:rPr>
          <w:lang w:val="fr-FR"/>
        </w:rPr>
        <w:t xml:space="preserve">sont </w:t>
      </w:r>
      <w:r>
        <w:rPr>
          <w:lang w:val="fr-FR"/>
        </w:rPr>
        <w:t xml:space="preserve">implémentés avec Spring Boot Tests</w:t>
      </w:r>
      <w:r>
        <w:rPr>
          <w:lang w:val="fr-FR"/>
        </w:rPr>
        <w:t xml:space="preserve"> </w:t>
      </w:r>
      <w:r>
        <w:rPr>
          <w:lang w:val="fr-FR"/>
        </w:rPr>
      </w:r>
    </w:p>
    <w:p>
      <w:pPr>
        <w:pStyle w:val="639"/>
        <w:pBdr/>
        <w:spacing/>
        <w:ind/>
        <w:rPr/>
      </w:pPr>
      <w:r/>
      <w:r/>
    </w:p>
    <w:p>
      <w:pPr>
        <w:pStyle w:val="647"/>
        <w:pBdr/>
        <w:spacing/>
        <w:ind/>
        <w:rPr/>
      </w:pPr>
      <w:r>
        <w:t xml:space="preserve">Grille d’évaluation critériée</w:t>
      </w:r>
      <w:r/>
    </w:p>
    <w:tbl>
      <w:tblPr>
        <w:tblStyle w:val="650"/>
        <w:tblW w:w="0" w:type="auto"/>
        <w:jc w:val="center"/>
        <w:tblBorders/>
        <w:tblLayout w:type="fixed"/>
        <w:tblLook w:val="06A0" w:firstRow="1" w:lastRow="0" w:firstColumn="1" w:lastColumn="0" w:noHBand="1" w:noVBand="1"/>
      </w:tblPr>
      <w:tblGrid>
        <w:gridCol w:w="7140"/>
        <w:gridCol w:w="1275"/>
      </w:tblGrid>
      <w:tr>
        <w:trPr>
          <w:trHeight w:val="300"/>
        </w:trPr>
        <w:tc>
          <w:tcPr>
            <w:shd w:val="clear" w:color="auto" w:fill="d9e2f3"/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Critère (notation)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e2f3"/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Note obtenue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Configuration du projet</w:t>
            </w:r>
            <w:r>
              <w:t xml:space="preserve"> (</w:t>
            </w:r>
            <w:r>
              <w:t xml:space="preserve">/</w:t>
            </w:r>
            <w:r>
              <w:t xml:space="preserve">1)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Organisation des packages</w:t>
            </w:r>
            <w:r>
              <w:t xml:space="preserve"> (</w:t>
            </w:r>
            <w:r>
              <w:t xml:space="preserve">/</w:t>
            </w:r>
            <w:r>
              <w:t xml:space="preserve">1)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Bonnes pratiques</w:t>
            </w:r>
            <w:r>
              <w:t xml:space="preserve"> (</w:t>
            </w:r>
            <w:r>
              <w:t xml:space="preserve">/</w:t>
            </w:r>
            <w:r>
              <w:t xml:space="preserve">2)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Documentation du code</w:t>
            </w:r>
            <w:r>
              <w:t xml:space="preserve"> (</w:t>
            </w:r>
            <w:r>
              <w:t xml:space="preserve">/</w:t>
            </w:r>
            <w:r>
              <w:t xml:space="preserve">1)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Documentation de l’API</w:t>
            </w:r>
            <w:r>
              <w:t xml:space="preserve"> (</w:t>
            </w:r>
            <w:r>
              <w:t xml:space="preserve">/</w:t>
            </w:r>
            <w:r>
              <w:t xml:space="preserve">1)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Couverture des exigences/Code opérationnel</w:t>
            </w:r>
            <w:r>
              <w:t xml:space="preserve"> (</w:t>
            </w:r>
            <w:r>
              <w:t xml:space="preserve">/</w:t>
            </w:r>
            <w:r>
              <w:t xml:space="preserve">5</w:t>
            </w:r>
            <w:r>
              <w:t xml:space="preserve">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Maîtrise de la dette technique</w:t>
            </w:r>
            <w:r>
              <w:t xml:space="preserve"> (</w:t>
            </w:r>
            <w:r>
              <w:t xml:space="preserve">/</w:t>
            </w:r>
            <w:r>
              <w:t xml:space="preserve">1</w:t>
            </w:r>
            <w:r>
              <w:t xml:space="preserve">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Gestion des exceptions</w:t>
            </w:r>
            <w:r>
              <w:t xml:space="preserve"> (</w:t>
            </w:r>
            <w:r>
              <w:t xml:space="preserve">/</w:t>
            </w:r>
            <w:r>
              <w:t xml:space="preserve">1</w:t>
            </w:r>
            <w:r>
              <w:t xml:space="preserve">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Gestion de l’authentification/autorisation</w:t>
            </w:r>
            <w:r>
              <w:t xml:space="preserve"> (</w:t>
            </w:r>
            <w:r>
              <w:t xml:space="preserve">/</w:t>
            </w:r>
            <w:r>
              <w:t xml:space="preserve">1</w:t>
            </w:r>
            <w:r>
              <w:t xml:space="preserve">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Tests</w:t>
            </w:r>
            <w:r>
              <w:t xml:space="preserve"> (</w:t>
            </w:r>
            <w:r>
              <w:t xml:space="preserve">/</w:t>
            </w:r>
            <w:r>
              <w:t xml:space="preserve">2)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>
              <w:t xml:space="preserve">Présentation orale (</w:t>
            </w:r>
            <w:r>
              <w:t xml:space="preserve">/</w:t>
            </w:r>
            <w:r>
              <w:t xml:space="preserve">4</w:t>
            </w:r>
            <w:r>
              <w:t xml:space="preserve">)</w:t>
            </w:r>
            <w:r/>
          </w:p>
        </w:tc>
        <w:tc>
          <w:tcPr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/>
            </w:pPr>
            <w:r/>
            <w:r/>
          </w:p>
        </w:tc>
      </w:tr>
      <w:tr>
        <w:trPr>
          <w:trHeight w:val="300"/>
        </w:trPr>
        <w:tc>
          <w:tcPr>
            <w:shd w:val="clear" w:color="auto" w:fill="d9e2f3"/>
            <w:tcBorders/>
            <w:tcW w:w="7140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                                                                              TOTAL</w:t>
            </w:r>
            <w:r>
              <w:rPr>
                <w:b/>
                <w:bCs/>
              </w:rPr>
              <w:t xml:space="preserve">/20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e2f3"/>
            <w:tcBorders/>
            <w:tcW w:w="1275" w:type="dxa"/>
            <w:textDirection w:val="lrTb"/>
            <w:noWrap w:val="false"/>
          </w:tcPr>
          <w:p>
            <w:pPr>
              <w:pStyle w:val="639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Style w:val="639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Aptos">
    <w:panose1 w:val="020B00040202020202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ptos" w:hAnsi="Apto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ptos" w:hAnsi="Apto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Aptos" w:hAnsi="Apto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3"/>
    <w:basedOn w:val="639"/>
    <w:next w:val="63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39"/>
    <w:next w:val="63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39"/>
    <w:next w:val="63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39"/>
    <w:next w:val="63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39"/>
    <w:next w:val="63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39"/>
    <w:next w:val="63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39"/>
    <w:next w:val="63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1">
    <w:name w:val="Heading 3 Char"/>
    <w:basedOn w:val="64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40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40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40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40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40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0">
    <w:name w:val="Subtitle"/>
    <w:basedOn w:val="639"/>
    <w:next w:val="63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40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39"/>
    <w:next w:val="63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40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39"/>
    <w:next w:val="63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40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3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4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4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3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40"/>
    <w:link w:val="175"/>
    <w:uiPriority w:val="99"/>
    <w:pPr>
      <w:pBdr/>
      <w:spacing/>
      <w:ind/>
    </w:pPr>
  </w:style>
  <w:style w:type="paragraph" w:styleId="177">
    <w:name w:val="Footer"/>
    <w:basedOn w:val="639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40"/>
    <w:link w:val="177"/>
    <w:uiPriority w:val="99"/>
    <w:pPr>
      <w:pBdr/>
      <w:spacing/>
      <w:ind/>
    </w:pPr>
  </w:style>
  <w:style w:type="paragraph" w:styleId="179">
    <w:name w:val="Caption"/>
    <w:basedOn w:val="639"/>
    <w:next w:val="6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3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4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4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3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4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4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39"/>
    <w:next w:val="639"/>
    <w:uiPriority w:val="99"/>
    <w:unhideWhenUsed/>
    <w:pPr>
      <w:pBdr/>
      <w:spacing w:after="0" w:afterAutospacing="0"/>
      <w:ind/>
    </w:pPr>
  </w:style>
  <w:style w:type="paragraph" w:styleId="639" w:default="1">
    <w:name w:val="Normal"/>
    <w:qFormat/>
    <w:pPr>
      <w:pBdr/>
      <w:spacing/>
      <w:ind/>
    </w:pPr>
  </w:style>
  <w:style w:type="character" w:styleId="640" w:default="1">
    <w:name w:val="Default Paragraph Font"/>
    <w:uiPriority w:val="1"/>
    <w:semiHidden/>
    <w:unhideWhenUsed/>
    <w:pPr>
      <w:pBdr/>
      <w:spacing/>
      <w:ind/>
    </w:pPr>
  </w:style>
  <w:style w:type="table" w:styleId="64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42" w:default="1">
    <w:name w:val="No List"/>
    <w:uiPriority w:val="99"/>
    <w:semiHidden/>
    <w:unhideWhenUsed/>
    <w:pPr>
      <w:pBdr/>
      <w:spacing/>
      <w:ind/>
    </w:pPr>
  </w:style>
  <w:style w:type="character" w:styleId="643" w:customStyle="1">
    <w:name w:val="Title Char"/>
    <w:basedOn w:val="640"/>
    <w:link w:val="6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4">
    <w:name w:val="Title"/>
    <w:basedOn w:val="639"/>
    <w:next w:val="639"/>
    <w:link w:val="643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5" w:customStyle="1">
    <w:name w:val="Heading 1 Char"/>
    <w:basedOn w:val="640"/>
    <w:link w:val="64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46">
    <w:name w:val="Heading 1"/>
    <w:basedOn w:val="639"/>
    <w:next w:val="639"/>
    <w:link w:val="64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47">
    <w:name w:val="Heading 2"/>
    <w:basedOn w:val="639"/>
    <w:next w:val="639"/>
    <w:link w:val="648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48" w:customStyle="1">
    <w:name w:val="Heading 2 Char"/>
    <w:basedOn w:val="640"/>
    <w:link w:val="64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649">
    <w:name w:val="List Paragraph"/>
    <w:basedOn w:val="639"/>
    <w:uiPriority w:val="34"/>
    <w:qFormat/>
    <w:pPr>
      <w:pBdr/>
      <w:spacing/>
      <w:ind w:left="720"/>
      <w:contextualSpacing w:val="true"/>
    </w:pPr>
  </w:style>
  <w:style w:type="table" w:styleId="650">
    <w:name w:val="Table Grid"/>
    <w:basedOn w:val="6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2026-09-09T14:59:08Z</dcterms:modified>
</cp:coreProperties>
</file>