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320"/>
      </w:pPr>
      <w:r>
        <w:rPr>
          <w:rFonts w:ascii="Calibri" w:hAnsi="Calibri" w:eastAsia="Calibri"/>
          <w:b/>
          <w:color w:val="C8922E"/>
          <w:sz w:val="20"/>
        </w:rPr>
        <w:t>МЕТОДИЧЕСКИЙ КОМПЛЕКТ</w:t>
      </w:r>
    </w:p>
    <w:p>
      <w:pPr>
        <w:pStyle w:val="Title"/>
        <w:spacing w:after="200"/>
      </w:pPr>
      <w:r>
        <w:t>Первые два урока Mini MBA</w:t>
      </w:r>
    </w:p>
    <w:p>
      <w:pPr>
        <w:pStyle w:val="Subtitle"/>
      </w:pPr>
      <w:r>
        <w:t>Сценарии занятий, ключи к кейсам, вопросы для обсуждения и критерии результата.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67085"/>
                <w:sz w:val="17"/>
              </w:rPr>
              <w:t>УРОК 1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Бизнес-система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67085"/>
                <w:sz w:val="17"/>
              </w:rPr>
              <w:t>УРОК 2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Стратегия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667085"/>
                <w:sz w:val="17"/>
              </w:rPr>
              <w:t>РЕЖИМ</w:t>
              <w:br/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Очный / онлайн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СТАТУС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Проект не содержал исходных материалов. Это базовый сценарий для группы действующих руководителей; перед запуском адаптируйте длительность, отраслевые примеры и ожидаемый уровень финансовой подготовки.</w:t>
            </w:r>
          </w:p>
        </w:tc>
      </w:tr>
    </w:tbl>
    <w:p>
      <w:pPr>
        <w:spacing w:after="40"/>
      </w:pPr>
    </w:p>
    <w:p>
      <w:pPr>
        <w:pStyle w:val="Heading1"/>
      </w:pPr>
      <w:r>
        <w:t>Архитектура старта курса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Элемент</w:t>
            </w:r>
          </w:p>
        </w:tc>
        <w:tc>
          <w:tcPr>
            <w:tcW w:type="dxa" w:w="43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Зачем нужен</w:t>
            </w:r>
          </w:p>
        </w:tc>
        <w:tc>
          <w:tcPr>
            <w:tcW w:type="dxa" w:w="32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Когда использовать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Входная диагностика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Задаёт личный фокус и показывает неоднородность группы.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До урока 1 или первые 10 минут.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Короткий учебный кейс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Переводит понятие в решение с цифрами и компромиссами.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В середине каждого урока.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Шаблон на свой бизнес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Обеспечивает перенос обучения на рабочую задачу.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После разбора кейса.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Рефлексия и эксперимент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Связывает занятие с наблюдаемым действием после курса.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Последние 10–15 минут.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Урок 1. Бизнес как система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РЕЗУЛЬТАТ УРОКА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Участник строит связную карту «клиент — процессы — экономика» и проверяет управленческое решение через маржинальный доход.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620"/>
        <w:gridCol w:w="4320"/>
        <w:gridCol w:w="270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Мин.</w:t>
            </w:r>
          </w:p>
        </w:tc>
        <w:tc>
          <w:tcPr>
            <w:tcW w:type="dxa" w:w="16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Этап</w:t>
            </w:r>
          </w:p>
        </w:tc>
        <w:tc>
          <w:tcPr>
            <w:tcW w:type="dxa" w:w="43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Действие преподавателя</w:t>
            </w:r>
          </w:p>
        </w:tc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Результат участника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0–10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Вход и диагностика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Объяснить безопасный формат самооценки; попросить выбрать два приоритета.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Личный фокус.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10–25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Проблематизация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Собрать примеры роста выручки без роста прибыли.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Видит конфликт трёх линз.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25–45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Мини-лекция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Показать связь ценности, операций и экономики.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Единая модель языка.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45–70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Кейс кофейни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Дать 10 минут на расчёт, затем сравнить логику групп.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Решение на цифрах.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70–95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Своя бизнес-модель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Попросить заполнить пять блоков и отметить самое рискованное допущение.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Черновик карты.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95–110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Взаимная проверка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Пары задают вопросы: «почему клиент выберет?» и «где деньги?»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Уточнённая карта.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110–120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Закрытие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Зафиксировать один вопрос для проверки до урока 2.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Домашний фокус.</w:t>
            </w:r>
          </w:p>
        </w:tc>
      </w:tr>
    </w:tbl>
    <w:p>
      <w:pPr>
        <w:spacing w:after="40"/>
      </w:pPr>
    </w:p>
    <w:p>
      <w:pPr>
        <w:pStyle w:val="Heading2"/>
      </w:pPr>
      <w:r>
        <w:t>Ключ к кейсу кофейни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90"/>
        <w:gridCol w:w="3330"/>
        <w:gridCol w:w="3240"/>
      </w:tblGrid>
      <w:tr>
        <w:trPr>
          <w:tblHeader w:val="true"/>
        </w:trPr>
        <w:tc>
          <w:tcPr>
            <w:tcW w:type="dxa" w:w="279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Расчёт</w:t>
            </w:r>
          </w:p>
        </w:tc>
        <w:tc>
          <w:tcPr>
            <w:tcW w:type="dxa" w:w="333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Ответ</w:t>
            </w:r>
          </w:p>
        </w:tc>
        <w:tc>
          <w:tcPr>
            <w:tcW w:type="dxa" w:w="32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Комментарий</w:t>
            </w:r>
          </w:p>
        </w:tc>
      </w:tr>
      <w:tr>
        <w:tc>
          <w:tcPr>
            <w:tcW w:type="dxa" w:w="27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Текущий маржинальный доход</w:t>
            </w:r>
          </w:p>
        </w:tc>
        <w:tc>
          <w:tcPr>
            <w:tcW w:type="dxa" w:w="33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1 800 000 − 810 000 = 990 000 ₽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Переменные затраты — 45% текущей выручки.</w:t>
            </w:r>
          </w:p>
        </w:tc>
      </w:tr>
      <w:tr>
        <w:tc>
          <w:tcPr>
            <w:tcW w:type="dxa" w:w="27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Текущая прибыль</w:t>
            </w:r>
          </w:p>
        </w:tc>
        <w:tc>
          <w:tcPr>
            <w:tcW w:type="dxa" w:w="33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990 000 − 780 000 = 210 000 ₽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До налогов и иных неучтённых статей.</w:t>
            </w:r>
          </w:p>
        </w:tc>
      </w:tr>
      <w:tr>
        <w:tc>
          <w:tcPr>
            <w:tcW w:type="dxa" w:w="27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Выручка после скидки</w:t>
            </w:r>
          </w:p>
        </w:tc>
        <w:tc>
          <w:tcPr>
            <w:tcW w:type="dxa" w:w="33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1 800 000 × 0,90 × 1,15 = 1 863 000 ₽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Выручка растёт на 3,5%.</w:t>
            </w:r>
          </w:p>
        </w:tc>
      </w:tr>
      <w:tr>
        <w:tc>
          <w:tcPr>
            <w:tcW w:type="dxa" w:w="27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Переменные затраты после скидки</w:t>
            </w:r>
          </w:p>
        </w:tc>
        <w:tc>
          <w:tcPr>
            <w:tcW w:type="dxa" w:w="33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810 000 × 1,15 = 931 500 ₽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Затраты на единицу не меняются, растёт только объём.</w:t>
            </w:r>
          </w:p>
        </w:tc>
      </w:tr>
      <w:tr>
        <w:tc>
          <w:tcPr>
            <w:tcW w:type="dxa" w:w="27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Прибыль после скидки</w:t>
            </w:r>
          </w:p>
        </w:tc>
        <w:tc>
          <w:tcPr>
            <w:tcW w:type="dxa" w:w="33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1 863 000 − 931 500 − 780 000 = 151 500 ₽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Прибыль ниже на 58 500 ₽.</w:t>
            </w:r>
          </w:p>
        </w:tc>
      </w:tr>
      <w:tr>
        <w:tc>
          <w:tcPr>
            <w:tcW w:type="dxa" w:w="27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Безубыточный рост чеков</w:t>
            </w:r>
          </w:p>
        </w:tc>
        <w:tc>
          <w:tcPr>
            <w:tcW w:type="dxa" w:w="33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55% / (90% − 45%) = 1,222…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8"/>
              </w:rPr>
              <w:t>Для сохранения текущей прибыли нужно не менее 22,2% роста чеков.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ПРОВЕРКА ПОНИМАНИЯ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Спросите: почему для сохранения прибыли недостаточно роста чеков на 11,1%, который восстанавливает выручку? Ожидаемый ответ: переменные затраты на единицу не снижаются вместе с ценой, поэтому вклад с каждой продажи падает с 55% до 45% исходной цены.</w:t>
            </w:r>
          </w:p>
        </w:tc>
      </w:tr>
    </w:tbl>
    <w:p>
      <w:pPr>
        <w:spacing w:after="40"/>
      </w:pPr>
    </w:p>
    <w:p>
      <w:pPr>
        <w:pStyle w:val="Heading2"/>
      </w:pPr>
      <w:r>
        <w:t>Типичные ошибки</w:t>
      </w:r>
    </w:p>
    <w:p>
      <w:pPr>
        <w:pStyle w:val="ListBullet"/>
      </w:pPr>
      <w:r>
        <w:t>считать прибыль как выручку минус постоянные затраты, игнорируя переменные;</w:t>
      </w:r>
    </w:p>
    <w:p>
      <w:pPr>
        <w:pStyle w:val="ListBullet"/>
      </w:pPr>
      <w:r>
        <w:t>делать вывод только по выручке;</w:t>
      </w:r>
    </w:p>
    <w:p>
      <w:pPr>
        <w:pStyle w:val="ListBullet"/>
      </w:pPr>
      <w:r>
        <w:t>предполагать, что рост чеков не влияет на скорость обслуживания, качество и загрузку команды.</w:t>
      </w:r>
    </w:p>
    <w:p>
      <w:r>
        <w:br w:type="page"/>
      </w:r>
    </w:p>
    <w:p>
      <w:pPr>
        <w:pStyle w:val="Heading1"/>
      </w:pPr>
      <w:r>
        <w:t>Урок 2. Стратегия как набор выборов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РЕЗУЛЬТАТ УРОКА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Участник формулирует согласованный набор стратегических выборов и один тест ключевой неопределённости.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620"/>
        <w:gridCol w:w="4320"/>
        <w:gridCol w:w="270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Мин.</w:t>
            </w:r>
          </w:p>
        </w:tc>
        <w:tc>
          <w:tcPr>
            <w:tcW w:type="dxa" w:w="16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Этап</w:t>
            </w:r>
          </w:p>
        </w:tc>
        <w:tc>
          <w:tcPr>
            <w:tcW w:type="dxa" w:w="43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Действие преподавателя</w:t>
            </w:r>
          </w:p>
        </w:tc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Результат участника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0–10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Возврат к уроку 1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Собрать по одному рискованному допущению из бизнес-моделей.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Мост к стратегии.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10–30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Стратегия ≠ список целей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Сопоставить пожелания и реальные выборы с отказами.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Понимает роль компромисса.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30–50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Пять связанных выборов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Разобрать амбицию, поле игры, способ победы, способности, управление.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Каркас стратегии.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50–75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Кейс платформы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Группы рассчитывают матрицу и защищают один выбор.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Аргументированное решение.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75–100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Стратегия своего блока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Заполнить одностраничный шаблон и назвать осознанный отказ.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Черновик стратегии.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100–115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Эксперимент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Перевести неопределённость в тест с порогом решения.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План проверки.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115–120</w:t>
            </w:r>
          </w:p>
        </w:tc>
        <w:tc>
          <w:tcPr>
            <w:tcW w:type="dxa" w:w="16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Закрытие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Попросить сформулировать действие на 48 часов.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Личное обязательство.</w:t>
            </w:r>
          </w:p>
        </w:tc>
      </w:tr>
    </w:tbl>
    <w:p>
      <w:pPr>
        <w:spacing w:after="40"/>
      </w:pPr>
    </w:p>
    <w:p>
      <w:pPr>
        <w:pStyle w:val="Heading2"/>
      </w:pPr>
      <w:r>
        <w:t>Ключ к кейсу платформы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320"/>
        <w:gridCol w:w="234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Вариант</w:t>
            </w:r>
          </w:p>
        </w:tc>
        <w:tc>
          <w:tcPr>
            <w:tcW w:type="dxa" w:w="43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Расчёт</w:t>
            </w:r>
          </w:p>
        </w:tc>
        <w:tc>
          <w:tcPr>
            <w:tcW w:type="dxa" w:w="23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Взвешенный балл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A: малый бизнес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4×25% + 3×30% + 3×25% + 4×20%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3,45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B: крупные компании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3×25% + 4×30% + 5×25% + 2×20%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3,60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НЕ ПРЕВРАЩАТЬ В ГОЛОСОВАНИЕ  </w:t>
            </w:r>
            <w:r>
              <w:rPr>
                <w:rFonts w:ascii="Calibri" w:hAnsi="Calibri" w:eastAsia="Calibri"/>
                <w:b/>
                <w:color w:val="0B2545"/>
                <w:sz w:val="22"/>
              </w:rPr>
              <w:t>Разница в 0,15 балла не доказывает выбор. Матрица делает допущения видимыми. Качественный ответ называет критичное допущение, осознанный отказ и тест, который может изменить решение.</w:t>
            </w:r>
          </w:p>
        </w:tc>
      </w:tr>
    </w:tbl>
    <w:p>
      <w:pPr>
        <w:spacing w:after="40"/>
      </w:pPr>
    </w:p>
    <w:p>
      <w:pPr>
        <w:pStyle w:val="Heading2"/>
      </w:pPr>
      <w:r>
        <w:t>Сильные вопросы для защиты стратегии</w:t>
      </w:r>
    </w:p>
    <w:p>
      <w:pPr>
        <w:pStyle w:val="ListBullet"/>
      </w:pPr>
      <w:r>
        <w:t>Какой конкретный клиент останется вне фокуса?</w:t>
      </w:r>
    </w:p>
    <w:p>
      <w:pPr>
        <w:pStyle w:val="ListBullet"/>
      </w:pPr>
      <w:r>
        <w:t>Почему конкуренту будет трудно скопировать наш способ победы?</w:t>
      </w:r>
    </w:p>
    <w:p>
      <w:pPr>
        <w:pStyle w:val="ListBullet"/>
      </w:pPr>
      <w:r>
        <w:t>Какая способность сегодня является узким местом?</w:t>
      </w:r>
    </w:p>
    <w:p>
      <w:pPr>
        <w:pStyle w:val="ListBullet"/>
      </w:pPr>
      <w:r>
        <w:t>Какая метрика может выглядеть хорошо, пока стратегия проваливается?</w:t>
      </w:r>
    </w:p>
    <w:p>
      <w:pPr>
        <w:pStyle w:val="ListBullet"/>
      </w:pPr>
      <w:r>
        <w:t>Какой факт заставит нас пересмотреть выбор?</w:t>
      </w:r>
    </w:p>
    <w:p>
      <w:r>
        <w:br w:type="page"/>
      </w:r>
    </w:p>
    <w:p>
      <w:pPr>
        <w:pStyle w:val="Heading1"/>
      </w:pPr>
      <w:r>
        <w:t>Рубрика итоговой работы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Критерий</w:t>
            </w:r>
          </w:p>
        </w:tc>
        <w:tc>
          <w:tcPr>
            <w:tcW w:type="dxa" w:w="25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1 — начальный</w:t>
            </w:r>
          </w:p>
        </w:tc>
        <w:tc>
          <w:tcPr>
            <w:tcW w:type="dxa" w:w="25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2 — рабочий</w:t>
            </w:r>
          </w:p>
        </w:tc>
        <w:tc>
          <w:tcPr>
            <w:tcW w:type="dxa" w:w="25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3 — сильный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Клиентский фокус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Клиент описан слишком широко.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Назван сегмент и ситуация.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Есть сегмент, ситуация, альтернатива и критерий выбора.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Связность модели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Блоки перечислены отдельно.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Есть связь ценности, процессов и денег.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Показаны причинные связи и ключевое ограничение.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Стратегический выбор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Список задач без отказов.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Есть «где играть» и «как выигрывать».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Выборы согласованы, ресурсы и отказ названы явно.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Проверяемость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Действие без гипотезы.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Есть метрика и срок.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7"/>
              </w:rPr>
              <w:t>Есть причинная гипотеза, защитная метрика и порог решения.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Минимальные критерии готовности первых уроков</w:t>
      </w:r>
    </w:p>
    <w:p>
      <w:pPr>
        <w:pStyle w:val="ListBullet"/>
      </w:pPr>
      <w:r>
        <w:t>не менее 70% участников завершают карту своей бизнес-модели;</w:t>
      </w:r>
    </w:p>
    <w:p>
      <w:pPr>
        <w:pStyle w:val="ListBullet"/>
      </w:pPr>
      <w:r>
        <w:t>каждая группа показывает расчёт, а не только мнение;</w:t>
      </w:r>
    </w:p>
    <w:p>
      <w:pPr>
        <w:pStyle w:val="ListBullet"/>
      </w:pPr>
      <w:r>
        <w:t>каждый участник формулирует хотя бы один осознанный отказ;</w:t>
      </w:r>
    </w:p>
    <w:p>
      <w:pPr>
        <w:pStyle w:val="ListBullet"/>
      </w:pPr>
      <w:r>
        <w:t>эксперимент содержит владельца, срок, метрику и порог решения;</w:t>
      </w:r>
    </w:p>
    <w:p>
      <w:pPr>
        <w:pStyle w:val="ListBullet"/>
      </w:pPr>
      <w:r>
        <w:t>после урока преподаватель фиксирует 3–5 повторяющихся пробелов для настройки следующих модулей.</w:t>
      </w:r>
    </w:p>
    <w:p>
      <w:pPr>
        <w:pStyle w:val="Heading2"/>
      </w:pPr>
      <w:r>
        <w:t>Рекомендуемые первоисточники</w:t>
      </w:r>
    </w:p>
    <w:p>
      <w:pPr>
        <w:pStyle w:val="ListBullet"/>
      </w:pPr>
      <w:r>
        <w:t>Alexander Osterwalder, Yves Pigneur. Business Model Generation. Wiley, 2010.</w:t>
      </w:r>
    </w:p>
    <w:p>
      <w:pPr>
        <w:pStyle w:val="ListBullet"/>
      </w:pPr>
      <w:r>
        <w:t>A. G. Lafley, Roger L. Martin. Playing to Win. Harvard Business Review Press, 2013.</w:t>
      </w:r>
    </w:p>
    <w:p>
      <w:pPr>
        <w:pStyle w:val="ListBullet"/>
      </w:pPr>
      <w:r>
        <w:t>Michael E. Porter. What Is Strategy? Harvard Business Review, 1996.</w:t>
      </w:r>
    </w:p>
    <w:p>
      <w:pPr>
        <w:pStyle w:val="ListBullet"/>
      </w:pPr>
      <w:r>
        <w:t>Eric Ries. The Lean Startup. Crown Business, 2011.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b/>
        <w:color w:val="667085"/>
        <w:sz w:val="18"/>
      </w:rPr>
      <w:t xml:space="preserve">MINI MBA  |  </w:t>
    </w:r>
    <w:r>
      <w:rPr>
        <w:rFonts w:ascii="Calibri" w:hAnsi="Calibri" w:eastAsia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РУКОВОДСТВО ПРЕПОДАВАТЕЛЯ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