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458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-5" w:type="dxa"/>
      </w:tblPr>
      <w:tblGrid>
        <w:gridCol w:w="2160"/>
        <w:gridCol w:w="3240"/>
        <w:gridCol w:w="720"/>
        <w:gridCol w:w="1260"/>
        <w:gridCol w:w="2070"/>
        <w:gridCol w:w="3060"/>
        <w:gridCol w:w="720"/>
        <w:gridCol w:w="1350"/>
      </w:tblGrid>
      <w:tr>
        <w:tc>
          <w:tcPr>
            <w:tcW w:type="dxa" w:w="14400"/>
            <w:gridSpan w:val="8"/>
            <w:shd w:val="clear" w:color="auto" w:fill="BFBFB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2"/>
              </w:rPr>
              <w:t xml:space="preserve">  APPROVED BY:</w:t>
            </w:r>
          </w:p>
        </w:tc>
      </w:tr>
      <w:tr>
        <w:tc>
          <w:tcPr>
            <w:tcW w:type="dxa" w:w="216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Document Owner:</w:t>
            </w:r>
          </w:p>
        </w:tc>
        <w:tc>
          <w:tcPr>
            <w:tcW w:type="dxa" w:w="3960"/>
            <w:gridSpan w:val="2"/>
            <w:vAlign w:val="center"/>
          </w:tcPr>
          <w:p>
            <w:pPr>
              <w:spacing w:before="60" w:after="60"/>
            </w:pPr>
          </w:p>
        </w:tc>
        <w:tc>
          <w:tcPr>
            <w:tcW w:type="dxa" w:w="126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Date:</w:t>
            </w:r>
          </w:p>
        </w:tc>
        <w:tc>
          <w:tcPr>
            <w:tcW w:type="dxa" w:w="2070"/>
            <w:vAlign w:val="center"/>
          </w:tcPr>
          <w:p>
            <w:pPr>
              <w:spacing w:before="60" w:after="60"/>
            </w:pPr>
          </w:p>
        </w:tc>
        <w:tc>
          <w:tcPr>
            <w:tcW w:type="dxa" w:w="3060"/>
          </w:tcPr>
          <w:p/>
        </w:tc>
        <w:tc>
          <w:tcPr>
            <w:tcW w:type="dxa" w:w="720"/>
          </w:tcPr>
          <w:p/>
        </w:tc>
        <w:tc>
          <w:tcPr>
            <w:tcW w:type="dxa" w:w="1350"/>
          </w:tcPr>
          <w:p/>
        </w:tc>
      </w:tr>
      <w:tr>
        <w:tc>
          <w:tcPr>
            <w:tcW w:type="dxa" w:w="216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Technical Authority:</w:t>
            </w:r>
          </w:p>
        </w:tc>
        <w:tc>
          <w:tcPr>
            <w:tcW w:type="dxa" w:w="3960"/>
            <w:gridSpan w:val="2"/>
            <w:vAlign w:val="center"/>
          </w:tcPr>
          <w:p>
            <w:pPr>
              <w:spacing w:before="60" w:after="60"/>
            </w:pPr>
          </w:p>
        </w:tc>
        <w:tc>
          <w:tcPr>
            <w:tcW w:type="dxa" w:w="126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Date:</w:t>
            </w:r>
          </w:p>
        </w:tc>
        <w:tc>
          <w:tcPr>
            <w:tcW w:type="dxa" w:w="2070"/>
            <w:vAlign w:val="center"/>
          </w:tcPr>
          <w:p>
            <w:pPr>
              <w:spacing w:before="60" w:after="60"/>
            </w:pPr>
          </w:p>
        </w:tc>
        <w:tc>
          <w:tcPr>
            <w:tcW w:type="dxa" w:w="3060"/>
          </w:tcPr>
          <w:p/>
        </w:tc>
        <w:tc>
          <w:tcPr>
            <w:tcW w:type="dxa" w:w="720"/>
          </w:tcPr>
          <w:p/>
        </w:tc>
        <w:tc>
          <w:tcPr>
            <w:tcW w:type="dxa" w:w="1350"/>
          </w:tcPr>
          <w:p/>
        </w:tc>
      </w:tr>
      <w:tr>
        <w:tc>
          <w:tcPr>
            <w:tcW w:type="dxa" w:w="216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TPP Facility Director:</w:t>
            </w:r>
          </w:p>
        </w:tc>
        <w:tc>
          <w:tcPr>
            <w:tcW w:type="dxa" w:w="3960"/>
            <w:gridSpan w:val="2"/>
            <w:vAlign w:val="center"/>
          </w:tcPr>
          <w:p>
            <w:pPr>
              <w:spacing w:before="60" w:after="60"/>
            </w:pPr>
          </w:p>
        </w:tc>
        <w:tc>
          <w:tcPr>
            <w:tcW w:type="dxa" w:w="126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Date:</w:t>
            </w:r>
          </w:p>
        </w:tc>
        <w:tc>
          <w:tcPr>
            <w:tcW w:type="dxa" w:w="2070"/>
            <w:vAlign w:val="center"/>
          </w:tcPr>
          <w:p>
            <w:pPr>
              <w:spacing w:before="60" w:after="60"/>
            </w:pPr>
          </w:p>
        </w:tc>
        <w:tc>
          <w:tcPr>
            <w:tcW w:type="dxa" w:w="3060"/>
          </w:tcPr>
          <w:p/>
        </w:tc>
        <w:tc>
          <w:tcPr>
            <w:tcW w:type="dxa" w:w="720"/>
          </w:tcPr>
          <w:p/>
        </w:tc>
        <w:tc>
          <w:tcPr>
            <w:tcW w:type="dxa" w:w="1350"/>
          </w:tcPr>
          <w:p/>
        </w:tc>
      </w:tr>
      <w:tr>
        <w:tc>
          <w:tcPr>
            <w:tcW w:type="dxa" w:w="216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Quality Assurance:</w:t>
            </w:r>
          </w:p>
        </w:tc>
        <w:tc>
          <w:tcPr>
            <w:tcW w:type="dxa" w:w="3960"/>
            <w:gridSpan w:val="2"/>
            <w:vAlign w:val="center"/>
          </w:tcPr>
          <w:p>
            <w:pPr>
              <w:spacing w:before="60" w:after="60"/>
            </w:pPr>
          </w:p>
        </w:tc>
        <w:tc>
          <w:tcPr>
            <w:tcW w:type="dxa" w:w="126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Date:</w:t>
            </w:r>
          </w:p>
        </w:tc>
        <w:tc>
          <w:tcPr>
            <w:tcW w:type="dxa" w:w="2070"/>
            <w:vAlign w:val="center"/>
          </w:tcPr>
          <w:p>
            <w:pPr>
              <w:spacing w:before="60" w:after="60"/>
            </w:pPr>
          </w:p>
        </w:tc>
        <w:tc>
          <w:tcPr>
            <w:tcW w:type="dxa" w:w="3060"/>
          </w:tcPr>
          <w:p/>
        </w:tc>
        <w:tc>
          <w:tcPr>
            <w:tcW w:type="dxa" w:w="720"/>
          </w:tcPr>
          <w:p/>
        </w:tc>
        <w:tc>
          <w:tcPr>
            <w:tcW w:type="dxa" w:w="1350"/>
          </w:tcPr>
          <w:p/>
        </w:tc>
      </w:tr>
      <w:tr>
        <w:tc>
          <w:tcPr>
            <w:tcW w:type="dxa" w:w="14580"/>
            <w:gridSpan w:val="8"/>
            <w:shd w:val="clear" w:color="auto" w:fill="BFBFB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2"/>
              </w:rPr>
              <w:t xml:space="preserve">  Batch Record issued for processing:</w:t>
            </w:r>
          </w:p>
        </w:tc>
      </w:tr>
      <w:tr>
        <w:tc>
          <w:tcPr>
            <w:tcW w:type="dxa" w:w="14580"/>
            <w:gridSpan w:val="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Copy is an accurate reproduction of the current approved version.</w:t>
            </w:r>
          </w:p>
        </w:tc>
      </w:tr>
      <w:tr>
        <w:tc>
          <w:tcPr>
            <w:tcW w:type="dxa" w:w="14580"/>
            <w:gridSpan w:val="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Production ID and Lot Number are recorded on all pages including attachments.</w:t>
            </w:r>
          </w:p>
        </w:tc>
      </w:tr>
      <w:tr>
        <w:tc>
          <w:tcPr>
            <w:tcW w:type="dxa" w:w="14580"/>
            <w:gridSpan w:val="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Issued By Signature / Date:</w:t>
            </w:r>
          </w:p>
        </w:tc>
      </w:tr>
    </w:tbl>
    <w:tbl>
      <w:tblPr>
        <w:tblLook w:firstColumn="1" w:firstRow="1" w:lastColumn="0" w:lastRow="0" w:noHBand="0" w:noVBand="1" w:val="04A0"/>
        <w:tblW w:w="1458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-5" w:type="dxa"/>
      </w:tblPr>
      <w:tblGrid>
        <w:gridCol w:w="3240"/>
        <w:gridCol w:w="11340"/>
      </w:tblGrid>
      <w:tr>
        <w:tc>
          <w:tcPr>
            <w:tcW w:type="dxa" w:w="14400"/>
            <w:gridSpan w:val="2"/>
            <w:shd w:val="clear" w:color="auto" w:fill="BFBFB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2"/>
              </w:rPr>
              <w:t xml:space="preserve">  REFERENCES</w:t>
            </w:r>
          </w:p>
        </w:tc>
      </w:tr>
      <w:tr>
        <w:tc>
          <w:tcPr>
            <w:tcW w:type="dxa" w:w="324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Document Number</w:t>
            </w:r>
          </w:p>
        </w:tc>
        <w:tc>
          <w:tcPr>
            <w:tcW w:type="dxa" w:w="1134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Title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134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Eurofins Genomics, Ebersberg, Germany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10.1016/j.omtm.2021.12.005</w:t>
            </w:r>
          </w:p>
        </w:tc>
        <w:tc>
          <w:tcPr>
            <w:tcW w:type="dxa" w:w="1134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Accelerating clinical-scale production of BCMA CAR T cells with defined maturation stages (Molecular Therapy. Methods &amp; Clinical Development, 2022)</w:t>
            </w:r>
          </w:p>
        </w:tc>
      </w:tr>
    </w:tbl>
    <w:tbl>
      <w:tblPr>
        <w:tblLook w:firstColumn="1" w:firstRow="1" w:lastColumn="0" w:lastRow="0" w:noHBand="0" w:noVBand="1" w:val="04A0"/>
        <w:tblW w:w="1458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-5" w:type="dxa"/>
      </w:tblPr>
      <w:tblGrid>
        <w:gridCol w:w="3240"/>
        <w:gridCol w:w="9900"/>
        <w:gridCol w:w="1440"/>
      </w:tblGrid>
      <w:tr>
        <w:tc>
          <w:tcPr>
            <w:tcW w:type="dxa" w:w="14400"/>
            <w:gridSpan w:val="3"/>
            <w:shd w:val="clear" w:color="auto" w:fill="BFBFB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2"/>
              </w:rPr>
              <w:t xml:space="preserve">  ATTACHMENTS</w:t>
            </w:r>
          </w:p>
        </w:tc>
      </w:tr>
      <w:tr>
        <w:tc>
          <w:tcPr>
            <w:tcW w:type="dxa" w:w="324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Document Number</w:t>
            </w:r>
          </w:p>
        </w:tc>
        <w:tc>
          <w:tcPr>
            <w:tcW w:type="dxa" w:w="990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Title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Qty.</w:t>
            </w:r>
          </w:p>
        </w:tc>
      </w:tr>
    </w:tbl>
    <w:tbl>
      <w:tblPr>
        <w:tblLook w:firstColumn="1" w:firstRow="1" w:lastColumn="0" w:lastRow="0" w:noHBand="0" w:noVBand="1" w:val="04A0"/>
        <w:tblW w:w="1458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-5" w:type="dxa"/>
      </w:tblPr>
      <w:tblGrid>
        <w:gridCol w:w="14580"/>
      </w:tblGrid>
      <w:tr>
        <w:tc>
          <w:tcPr>
            <w:tcW w:type="dxa" w:w="14400"/>
            <w:shd w:val="clear" w:color="auto" w:fill="BFBFB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2"/>
              </w:rPr>
              <w:t xml:space="preserve">  GENERAL INSTRUCTIONS</w:t>
            </w:r>
          </w:p>
        </w:tc>
      </w:tr>
      <w:tr>
        <w:tc>
          <w:tcPr>
            <w:tcW w:type="dxa" w:w="1458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Instructions preceded by [BSC] include operations that take place inside the ISO 5 zone of biosafety cabinets to prevent microbial contamination of the product and sterile support solutions. Operations are performed according to EQ-002 and GN-005.</w:t>
            </w:r>
          </w:p>
        </w:tc>
      </w:tr>
      <w:tr>
        <w:tc>
          <w:tcPr>
            <w:tcW w:type="dxa" w:w="1458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Sanitize bag ports/penetrations with alcohol prior to connections.</w:t>
            </w:r>
          </w:p>
        </w:tc>
      </w:tr>
      <w:tr>
        <w:tc>
          <w:tcPr>
            <w:tcW w:type="dxa" w:w="1458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Centrifugations require the use of a second container to balance the rotor (refer to EQ-003).</w:t>
            </w:r>
          </w:p>
        </w:tc>
      </w:tr>
      <w:tr>
        <w:tc>
          <w:tcPr>
            <w:tcW w:type="dxa" w:w="1458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Label containers and materials with the labels staged at the beginning of each section.</w:t>
            </w:r>
          </w:p>
        </w:tc>
      </w:tr>
      <w:tr>
        <w:tc>
          <w:tcPr>
            <w:tcW w:type="dxa" w:w="1458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Label cryobags for infusion with the label printed in the designated section.</w:t>
            </w:r>
          </w:p>
        </w:tc>
      </w:tr>
    </w:tbl>
    <w:p>
      <w:r>
        <w:rPr>
          <w:color w:val="999999"/>
          <w:sz w:val="20"/>
        </w:rPr>
        <w:t>[Flowchart: Process Flow]</w:t>
      </w:r>
    </w:p>
    <w:tbl>
      <w:tblPr>
        <w:tblLook w:firstColumn="1" w:firstRow="1" w:lastColumn="0" w:lastRow="0" w:noHBand="0" w:noVBand="1" w:val="04A0"/>
        <w:tblW w:w="1458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-5" w:type="dxa"/>
      </w:tblPr>
      <w:tblGrid>
        <w:gridCol w:w="7290"/>
        <w:gridCol w:w="7290"/>
      </w:tblGrid>
      <w:tr>
        <w:tc>
          <w:tcPr>
            <w:tcW w:type="dxa" w:w="14400"/>
            <w:gridSpan w:val="2"/>
            <w:shd w:val="clear" w:color="auto" w:fill="BFBFB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2"/>
              </w:rPr>
              <w:t xml:space="preserve">  Equipment / materials list</w:t>
            </w:r>
          </w:p>
        </w:tc>
      </w:tr>
      <w:tr>
        <w:tc>
          <w:tcPr>
            <w:tcW w:type="dxa" w:w="14580"/>
            <w:gridSpan w:val="2"/>
            <w:shd w:val="clear" w:color="auto" w:fill="F2F2F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Equipment List:</w:t>
            </w:r>
          </w:p>
        </w:tc>
      </w:tr>
      <w:tr>
        <w:tc>
          <w:tcPr>
            <w:tcW w:type="dxa" w:w="14580"/>
            <w:gridSpan w:val="2"/>
            <w:shd w:val="clear" w:color="auto" w:fill="F2F2F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14580"/>
            <w:gridSpan w:val="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CliniMACS Prodigy</w:t>
            </w:r>
          </w:p>
        </w:tc>
      </w:tr>
      <w:tr>
        <w:tc>
          <w:tcPr>
            <w:tcW w:type="dxa" w:w="14580"/>
            <w:gridSpan w:val="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Aria Fusion II instrument</w:t>
            </w:r>
          </w:p>
        </w:tc>
      </w:tr>
      <w:tr>
        <w:tc>
          <w:tcPr>
            <w:tcW w:type="dxa" w:w="14580"/>
            <w:gridSpan w:val="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BACTEC bottles (aerobic and anaerobic)</w:t>
            </w:r>
          </w:p>
        </w:tc>
      </w:tr>
      <w:tr>
        <w:tc>
          <w:tcPr>
            <w:tcW w:type="dxa" w:w="14580"/>
            <w:gridSpan w:val="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BD Biosciences StepOnePlus Real-Time PCR system</w:t>
            </w:r>
          </w:p>
        </w:tc>
      </w:tr>
    </w:tbl>
    <w:tbl>
      <w:tblPr>
        <w:tblLook w:firstColumn="1" w:firstRow="1" w:lastColumn="0" w:lastRow="0" w:noHBand="0" w:noVBand="1" w:val="04A0"/>
        <w:tblW w:w="1458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-5" w:type="dxa"/>
      </w:tblPr>
      <w:tblGrid>
        <w:gridCol w:w="1800"/>
        <w:gridCol w:w="3600"/>
        <w:gridCol w:w="1890"/>
        <w:gridCol w:w="1800"/>
        <w:gridCol w:w="3600"/>
        <w:gridCol w:w="1890"/>
      </w:tblGrid>
      <w:tr>
        <w:tc>
          <w:tcPr>
            <w:tcW w:type="dxa" w:w="14400"/>
            <w:gridSpan w:val="6"/>
            <w:shd w:val="clear" w:color="auto" w:fill="BFBFB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2"/>
              </w:rPr>
              <w:t xml:space="preserve">  Material List:</w:t>
            </w:r>
          </w:p>
        </w:tc>
      </w:tr>
      <w:tr>
        <w:tc>
          <w:tcPr>
            <w:tcW w:type="dxa" w:w="180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CPF Part No.</w:t>
            </w:r>
          </w:p>
        </w:tc>
        <w:tc>
          <w:tcPr>
            <w:tcW w:type="dxa" w:w="360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Material Description</w:t>
            </w:r>
          </w:p>
        </w:tc>
        <w:tc>
          <w:tcPr>
            <w:tcW w:type="dxa" w:w="189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Quantity Required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CPF Part No.</w:t>
            </w:r>
          </w:p>
        </w:tc>
        <w:tc>
          <w:tcPr>
            <w:tcW w:type="dxa" w:w="360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Material Description</w:t>
            </w:r>
          </w:p>
        </w:tc>
        <w:tc>
          <w:tcPr>
            <w:tcW w:type="dxa" w:w="189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Quantity Required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60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GMP-grade PBS/EDTA</w:t>
            </w:r>
          </w:p>
        </w:tc>
        <w:tc>
          <w:tcPr>
            <w:tcW w:type="dxa" w:w="189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60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Penicillin/streptomycin</w:t>
            </w:r>
          </w:p>
        </w:tc>
        <w:tc>
          <w:tcPr>
            <w:tcW w:type="dxa" w:w="189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1% final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60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GMP-grade TexMACS medium</w:t>
            </w:r>
          </w:p>
        </w:tc>
        <w:tc>
          <w:tcPr>
            <w:tcW w:type="dxa" w:w="189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60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Gentamycin</w:t>
            </w:r>
          </w:p>
        </w:tc>
        <w:tc>
          <w:tcPr>
            <w:tcW w:type="dxa" w:w="189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10 mg/mL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60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HSA (CSL Behring)</w:t>
            </w:r>
          </w:p>
        </w:tc>
        <w:tc>
          <w:tcPr>
            <w:tcW w:type="dxa" w:w="189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0.5% final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60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7-AAD (Miltenyi Biotech or BioLegend)</w:t>
            </w:r>
          </w:p>
        </w:tc>
        <w:tc>
          <w:tcPr>
            <w:tcW w:type="dxa" w:w="189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60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IL-7 and IL-15 (premium grade; Miltenyi Biotec)</w:t>
            </w:r>
          </w:p>
        </w:tc>
        <w:tc>
          <w:tcPr>
            <w:tcW w:type="dxa" w:w="189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12.5 ng/mL each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60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QuantiBRITE PE calibration beads</w:t>
            </w:r>
          </w:p>
        </w:tc>
        <w:tc>
          <w:tcPr>
            <w:tcW w:type="dxa" w:w="189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60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NaCl (B. Braun)</w:t>
            </w:r>
          </w:p>
        </w:tc>
        <w:tc>
          <w:tcPr>
            <w:tcW w:type="dxa" w:w="189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00"/>
          </w:tcPr>
          <w:p/>
        </w:tc>
        <w:tc>
          <w:tcPr>
            <w:tcW w:type="dxa" w:w="3600"/>
          </w:tcPr>
          <w:p/>
        </w:tc>
        <w:tc>
          <w:tcPr>
            <w:tcW w:type="dxa" w:w="1890"/>
          </w:tcPr>
          <w:p/>
        </w:tc>
      </w:tr>
    </w:tbl>
    <w:tbl>
      <w:tblPr>
        <w:tblLook w:firstColumn="1" w:firstRow="1" w:lastColumn="0" w:lastRow="0" w:noHBand="0" w:noVBand="1" w:val="04A0"/>
        <w:tblW w:w="1458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-5" w:type="dxa"/>
      </w:tblPr>
      <w:tblGrid>
        <w:gridCol w:w="5400"/>
        <w:gridCol w:w="2160"/>
        <w:gridCol w:w="3240"/>
        <w:gridCol w:w="1890"/>
        <w:gridCol w:w="1890"/>
      </w:tblGrid>
      <w:tr>
        <w:tc>
          <w:tcPr>
            <w:tcW w:type="dxa" w:w="14400"/>
            <w:gridSpan w:val="5"/>
            <w:shd w:val="clear" w:color="auto" w:fill="BFBFB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2"/>
              </w:rPr>
              <w:t xml:space="preserve">  Day -1 Apheresis Sampling and Overnight Hold</w:t>
            </w:r>
          </w:p>
        </w:tc>
      </w:tr>
      <w:tr>
        <w:tc>
          <w:tcPr>
            <w:tcW w:type="dxa" w:w="540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Instruction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Variable</w:t>
            </w:r>
          </w:p>
        </w:tc>
        <w:tc>
          <w:tcPr>
            <w:tcW w:type="dxa" w:w="324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Result / Actual</w:t>
            </w:r>
          </w:p>
        </w:tc>
        <w:tc>
          <w:tcPr>
            <w:tcW w:type="dxa" w:w="189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Performed By (Initials/Date)</w:t>
            </w:r>
          </w:p>
        </w:tc>
        <w:tc>
          <w:tcPr>
            <w:tcW w:type="dxa" w:w="189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Checked By (Initials/Date)</w:t>
            </w:r>
          </w:p>
        </w:tc>
      </w:tr>
      <w:tr>
        <w:tc>
          <w:tcPr>
            <w:tcW w:type="dxa" w:w="14580"/>
            <w:gridSpan w:val="5"/>
            <w:shd w:val="clear" w:color="auto" w:fill="F2F2F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Section Review</w:t>
            </w:r>
          </w:p>
        </w:tc>
      </w:tr>
      <w:tr>
        <w:tc>
          <w:tcPr>
            <w:tcW w:type="dxa" w:w="14580"/>
            <w:gridSpan w:val="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MFG Review (Initials/Date):</w:t>
            </w:r>
          </w:p>
        </w:tc>
      </w:tr>
      <w:tr>
        <w:tc>
          <w:tcPr>
            <w:tcW w:type="dxa" w:w="14580"/>
            <w:gridSpan w:val="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QA Review (Initials/Date):</w:t>
            </w:r>
          </w:p>
        </w:tc>
      </w:tr>
    </w:tbl>
    <w:tbl>
      <w:tblPr>
        <w:tblLook w:firstColumn="1" w:firstRow="1" w:lastColumn="0" w:lastRow="0" w:noHBand="0" w:noVBand="1" w:val="04A0"/>
        <w:tblW w:w="1458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-5" w:type="dxa"/>
      </w:tblPr>
      <w:tblGrid>
        <w:gridCol w:w="5400"/>
        <w:gridCol w:w="2160"/>
        <w:gridCol w:w="3240"/>
        <w:gridCol w:w="1890"/>
        <w:gridCol w:w="1890"/>
      </w:tblGrid>
      <w:tr>
        <w:tc>
          <w:tcPr>
            <w:tcW w:type="dxa" w:w="14400"/>
            <w:gridSpan w:val="5"/>
            <w:shd w:val="clear" w:color="auto" w:fill="BFBFB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2"/>
              </w:rPr>
              <w:t xml:space="preserve">  Day 0 Processing (from literature)</w:t>
            </w:r>
          </w:p>
        </w:tc>
      </w:tr>
      <w:tr>
        <w:tc>
          <w:tcPr>
            <w:tcW w:type="dxa" w:w="540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Instruction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Variable</w:t>
            </w:r>
          </w:p>
        </w:tc>
        <w:tc>
          <w:tcPr>
            <w:tcW w:type="dxa" w:w="324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Result / Actual</w:t>
            </w:r>
          </w:p>
        </w:tc>
        <w:tc>
          <w:tcPr>
            <w:tcW w:type="dxa" w:w="189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Performed By (Initials/Date)</w:t>
            </w:r>
          </w:p>
        </w:tc>
        <w:tc>
          <w:tcPr>
            <w:tcW w:type="dxa" w:w="189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Checked By (Initials/Date)</w:t>
            </w:r>
          </w:p>
        </w:tc>
      </w:tr>
      <w:tr>
        <w:tc>
          <w:tcPr>
            <w:tcW w:type="dxa" w:w="5400"/>
            <w:vAlign w:val="top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 xml:space="preserve">1  </w:t>
            </w:r>
            <w:r>
              <w:rPr>
                <w:rFonts w:ascii="Calibri" w:hAnsi="Calibri"/>
                <w:b/>
                <w:sz w:val="20"/>
              </w:rPr>
              <w:t>Sample Preparation</w:t>
            </w:r>
          </w:p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Thaw sample at 37°C for 2 minutes</w:t>
            </w:r>
          </w:p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Centrifuge at 400g for 5 minutes</w:t>
            </w:r>
          </w:p>
        </w:tc>
        <w:tc>
          <w:tcPr>
            <w:tcW w:type="dxa" w:w="2160"/>
            <w:vAlign w:val="top"/>
          </w:tcPr>
          <w:p/>
        </w:tc>
        <w:tc>
          <w:tcPr>
            <w:tcW w:type="dxa" w:w="3240"/>
            <w:vAlign w:val="top"/>
          </w:tcPr>
          <w:p/>
        </w:tc>
        <w:tc>
          <w:tcPr>
            <w:tcW w:type="dxa" w:w="1890"/>
          </w:tcPr>
          <w:p/>
        </w:tc>
        <w:tc>
          <w:tcPr>
            <w:tcW w:type="dxa" w:w="1890"/>
          </w:tcPr>
          <w:p/>
        </w:tc>
      </w:tr>
      <w:tr>
        <w:tc>
          <w:tcPr>
            <w:tcW w:type="dxa" w:w="5400"/>
            <w:vAlign w:val="top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 xml:space="preserve">2  </w:t>
            </w:r>
            <w:r>
              <w:rPr>
                <w:rFonts w:ascii="Calibri" w:hAnsi="Calibri"/>
                <w:b/>
                <w:sz w:val="20"/>
              </w:rPr>
              <w:t>Cell Staining</w:t>
            </w:r>
          </w:p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Stain cells with anti-human IgG1-PE polyclonal goat-anti-human serum (Southern Biotec) or BCMA-FITC peptide (AcroBiosystems)</w:t>
            </w:r>
          </w:p>
        </w:tc>
        <w:tc>
          <w:tcPr>
            <w:tcW w:type="dxa" w:w="2160"/>
            <w:vAlign w:val="top"/>
          </w:tcPr>
          <w:p/>
        </w:tc>
        <w:tc>
          <w:tcPr>
            <w:tcW w:type="dxa" w:w="3240"/>
            <w:vAlign w:val="top"/>
          </w:tcPr>
          <w:p/>
        </w:tc>
        <w:tc>
          <w:tcPr>
            <w:tcW w:type="dxa" w:w="1890"/>
          </w:tcPr>
          <w:p/>
        </w:tc>
        <w:tc>
          <w:tcPr>
            <w:tcW w:type="dxa" w:w="1890"/>
          </w:tcPr>
          <w:p/>
        </w:tc>
      </w:tr>
      <w:tr>
        <w:tc>
          <w:tcPr>
            <w:tcW w:type="dxa" w:w="5400"/>
            <w:vAlign w:val="top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 xml:space="preserve">3  </w:t>
            </w:r>
            <w:r>
              <w:rPr>
                <w:rFonts w:ascii="Calibri" w:hAnsi="Calibri"/>
                <w:b/>
                <w:sz w:val="20"/>
              </w:rPr>
              <w:t>qPCR Analysis</w:t>
            </w:r>
          </w:p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Perform qPCR detecting the woodchuck hepatitis virus post-transcriptional regulatory element (WPRE) within the viral insert, normalized to the endogenous polypyrimidine tract binding protein 2 (PTBP2)</w:t>
            </w:r>
          </w:p>
        </w:tc>
        <w:tc>
          <w:tcPr>
            <w:tcW w:type="dxa" w:w="2160"/>
            <w:vAlign w:val="top"/>
          </w:tcPr>
          <w:p/>
        </w:tc>
        <w:tc>
          <w:tcPr>
            <w:tcW w:type="dxa" w:w="3240"/>
            <w:vAlign w:val="top"/>
          </w:tcPr>
          <w:p/>
        </w:tc>
        <w:tc>
          <w:tcPr>
            <w:tcW w:type="dxa" w:w="1890"/>
          </w:tcPr>
          <w:p/>
        </w:tc>
        <w:tc>
          <w:tcPr>
            <w:tcW w:type="dxa" w:w="1890"/>
          </w:tcPr>
          <w:p/>
        </w:tc>
      </w:tr>
      <w:tr>
        <w:tc>
          <w:tcPr>
            <w:tcW w:type="dxa" w:w="5400"/>
            <w:vAlign w:val="top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 xml:space="preserve">4  </w:t>
            </w:r>
            <w:r>
              <w:rPr>
                <w:rFonts w:ascii="Calibri" w:hAnsi="Calibri"/>
                <w:b/>
                <w:sz w:val="20"/>
              </w:rPr>
              <w:t>FACS Analysis</w:t>
            </w:r>
          </w:p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Measure FACS samples on a MACSQuant 10 flow cytometer (Miltenyi Biotec) and analyze using FlowJo version 10.5.3 (TreeStar)</w:t>
            </w:r>
          </w:p>
        </w:tc>
        <w:tc>
          <w:tcPr>
            <w:tcW w:type="dxa" w:w="2160"/>
            <w:vAlign w:val="top"/>
          </w:tcPr>
          <w:p/>
        </w:tc>
        <w:tc>
          <w:tcPr>
            <w:tcW w:type="dxa" w:w="3240"/>
            <w:vAlign w:val="top"/>
          </w:tcPr>
          <w:p/>
        </w:tc>
        <w:tc>
          <w:tcPr>
            <w:tcW w:type="dxa" w:w="1890"/>
          </w:tcPr>
          <w:p/>
        </w:tc>
        <w:tc>
          <w:tcPr>
            <w:tcW w:type="dxa" w:w="1890"/>
          </w:tcPr>
          <w:p/>
        </w:tc>
      </w:tr>
      <w:tr>
        <w:tc>
          <w:tcPr>
            <w:tcW w:type="dxa" w:w="5400"/>
            <w:vAlign w:val="top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 xml:space="preserve">5  </w:t>
            </w:r>
            <w:r>
              <w:rPr>
                <w:rFonts w:ascii="Calibri" w:hAnsi="Calibri"/>
                <w:b/>
                <w:sz w:val="20"/>
              </w:rPr>
              <w:t>Cytotoxicity Assay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 xml:space="preserve">[BSC] </w:t>
            </w:r>
            <w:r>
              <w:rPr>
                <w:rFonts w:ascii="Calibri" w:hAnsi="Calibri"/>
                <w:sz w:val="20"/>
              </w:rPr>
              <w:t>Co-culture CAR T cells with target cells at different E:T ratios for 4 hours at 37°C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 xml:space="preserve">[BSC] </w:t>
            </w:r>
            <w:r>
              <w:rPr>
                <w:rFonts w:ascii="Calibri" w:hAnsi="Calibri"/>
                <w:sz w:val="20"/>
              </w:rPr>
              <w:t>Add 20 μCi [51Cr] sodium chromate (PerkinElmer) to the target cells and incubate for 90 minutes at 37°C</w:t>
            </w:r>
          </w:p>
        </w:tc>
        <w:tc>
          <w:tcPr>
            <w:tcW w:type="dxa" w:w="2160"/>
            <w:vAlign w:val="top"/>
          </w:tcPr>
          <w:p/>
        </w:tc>
        <w:tc>
          <w:tcPr>
            <w:tcW w:type="dxa" w:w="3240"/>
            <w:vAlign w:val="top"/>
          </w:tcPr>
          <w:p/>
        </w:tc>
        <w:tc>
          <w:tcPr>
            <w:tcW w:type="dxa" w:w="1890"/>
          </w:tcPr>
          <w:p/>
        </w:tc>
        <w:tc>
          <w:tcPr>
            <w:tcW w:type="dxa" w:w="1890"/>
          </w:tcPr>
          <w:p/>
        </w:tc>
      </w:tr>
      <w:tr>
        <w:tc>
          <w:tcPr>
            <w:tcW w:type="dxa" w:w="14580"/>
            <w:gridSpan w:val="5"/>
            <w:shd w:val="clear" w:color="auto" w:fill="F2F2F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Section Review</w:t>
            </w:r>
          </w:p>
        </w:tc>
      </w:tr>
      <w:tr>
        <w:tc>
          <w:tcPr>
            <w:tcW w:type="dxa" w:w="14580"/>
            <w:gridSpan w:val="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MFG Review (Initials/Date):</w:t>
            </w:r>
          </w:p>
        </w:tc>
      </w:tr>
      <w:tr>
        <w:tc>
          <w:tcPr>
            <w:tcW w:type="dxa" w:w="14580"/>
            <w:gridSpan w:val="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QA Review (Initials/Date):</w:t>
            </w:r>
          </w:p>
        </w:tc>
      </w:tr>
    </w:tbl>
    <w:p>
      <w:r>
        <w:rPr>
          <w:color w:val="999999"/>
          <w:sz w:val="20"/>
        </w:rPr>
        <w:t>[Flowchart: Process Flow Diagrams]</w:t>
      </w:r>
    </w:p>
    <w:tbl>
      <w:tblPr>
        <w:tblLook w:firstColumn="1" w:firstRow="1" w:lastColumn="0" w:lastRow="0" w:noHBand="0" w:noVBand="1" w:val="04A0"/>
        <w:tblW w:w="1458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-5" w:type="dxa"/>
      </w:tblPr>
      <w:tblGrid>
        <w:gridCol w:w="5400"/>
        <w:gridCol w:w="2160"/>
        <w:gridCol w:w="3240"/>
        <w:gridCol w:w="1890"/>
        <w:gridCol w:w="1890"/>
      </w:tblGrid>
      <w:tr>
        <w:tc>
          <w:tcPr>
            <w:tcW w:type="dxa" w:w="14400"/>
            <w:gridSpan w:val="5"/>
            <w:shd w:val="clear" w:color="auto" w:fill="BFBFB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2"/>
              </w:rPr>
              <w:t xml:space="preserve">  Label Accountability</w:t>
            </w:r>
          </w:p>
        </w:tc>
      </w:tr>
      <w:tr>
        <w:tc>
          <w:tcPr>
            <w:tcW w:type="dxa" w:w="540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Instruction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Variable</w:t>
            </w:r>
          </w:p>
        </w:tc>
        <w:tc>
          <w:tcPr>
            <w:tcW w:type="dxa" w:w="324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Result / Actual</w:t>
            </w:r>
          </w:p>
        </w:tc>
        <w:tc>
          <w:tcPr>
            <w:tcW w:type="dxa" w:w="189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Performed By (Initials/Date)</w:t>
            </w:r>
          </w:p>
        </w:tc>
        <w:tc>
          <w:tcPr>
            <w:tcW w:type="dxa" w:w="189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Verified By (Initials/Date)</w:t>
            </w:r>
          </w:p>
        </w:tc>
      </w:tr>
      <w:tr>
        <w:tc>
          <w:tcPr>
            <w:tcW w:type="dxa" w:w="540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In-Process Labels</w:t>
            </w:r>
          </w:p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Deface and discard any unused in-process labels.</w:t>
            </w:r>
          </w:p>
        </w:tc>
        <w:tc>
          <w:tcPr>
            <w:tcW w:type="dxa" w:w="2160"/>
          </w:tcPr>
          <w:p/>
        </w:tc>
        <w:tc>
          <w:tcPr>
            <w:tcW w:type="dxa" w:w="3240"/>
          </w:tcPr>
          <w:p/>
        </w:tc>
        <w:tc>
          <w:tcPr>
            <w:tcW w:type="dxa" w:w="1890"/>
          </w:tcPr>
          <w:p/>
        </w:tc>
        <w:tc>
          <w:tcPr>
            <w:tcW w:type="dxa" w:w="1890"/>
          </w:tcPr>
          <w:p/>
        </w:tc>
      </w:tr>
      <w:tr>
        <w:tc>
          <w:tcPr>
            <w:tcW w:type="dxa" w:w="540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Infusion Labels</w:t>
            </w:r>
          </w:p>
          <w:p>
            <w:r>
              <w:rPr>
                <w:rFonts w:ascii="Calibri" w:hAnsi="Calibri"/>
                <w:sz w:val="20"/>
              </w:rPr>
              <w:t>Do not discard remaining infusion labels. Deface unused Infusion Labels. Attach unused Infusion Labels to this record.</w:t>
            </w:r>
          </w:p>
        </w:tc>
        <w:tc>
          <w:tcPr>
            <w:tcW w:type="dxa" w:w="2160"/>
          </w:tcPr>
          <w:p/>
        </w:tc>
        <w:tc>
          <w:tcPr>
            <w:tcW w:type="dxa" w:w="3240"/>
          </w:tcPr>
          <w:p/>
        </w:tc>
        <w:tc>
          <w:tcPr>
            <w:tcW w:type="dxa" w:w="1890"/>
          </w:tcPr>
          <w:p/>
        </w:tc>
        <w:tc>
          <w:tcPr>
            <w:tcW w:type="dxa" w:w="1890"/>
          </w:tcPr>
          <w:p/>
        </w:tc>
      </w:tr>
      <w:tr>
        <w:tc>
          <w:tcPr>
            <w:tcW w:type="dxa" w:w="540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Attach unused Infusion Labels to this record. Record Number attached.</w:t>
            </w:r>
          </w:p>
        </w:tc>
        <w:tc>
          <w:tcPr>
            <w:tcW w:type="dxa" w:w="2160"/>
          </w:tcPr>
          <w:p/>
        </w:tc>
        <w:tc>
          <w:tcPr>
            <w:tcW w:type="dxa" w:w="324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Labels</w:t>
            </w:r>
          </w:p>
        </w:tc>
        <w:tc>
          <w:tcPr>
            <w:tcW w:type="dxa" w:w="1890"/>
          </w:tcPr>
          <w:p/>
        </w:tc>
        <w:tc>
          <w:tcPr>
            <w:tcW w:type="dxa" w:w="1890"/>
          </w:tcPr>
          <w:p/>
        </w:tc>
      </w:tr>
      <w:tr>
        <w:tc>
          <w:tcPr>
            <w:tcW w:type="dxa" w:w="540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Record Number of Labels Printed</w:t>
            </w:r>
          </w:p>
        </w:tc>
        <w:tc>
          <w:tcPr>
            <w:tcW w:type="dxa" w:w="2160"/>
          </w:tcPr>
          <w:p/>
        </w:tc>
        <w:tc>
          <w:tcPr>
            <w:tcW w:type="dxa" w:w="324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Labels</w:t>
            </w:r>
          </w:p>
        </w:tc>
        <w:tc>
          <w:tcPr>
            <w:tcW w:type="dxa" w:w="1890"/>
          </w:tcPr>
          <w:p/>
        </w:tc>
        <w:tc>
          <w:tcPr>
            <w:tcW w:type="dxa" w:w="1890"/>
          </w:tcPr>
          <w:p/>
        </w:tc>
      </w:tr>
      <w:tr>
        <w:tc>
          <w:tcPr>
            <w:tcW w:type="dxa" w:w="540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Record Number of Labels Adhered to Record</w:t>
            </w:r>
          </w:p>
        </w:tc>
        <w:tc>
          <w:tcPr>
            <w:tcW w:type="dxa" w:w="2160"/>
          </w:tcPr>
          <w:p/>
        </w:tc>
        <w:tc>
          <w:tcPr>
            <w:tcW w:type="dxa" w:w="324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Labels</w:t>
            </w:r>
          </w:p>
        </w:tc>
        <w:tc>
          <w:tcPr>
            <w:tcW w:type="dxa" w:w="1890"/>
          </w:tcPr>
          <w:p/>
        </w:tc>
        <w:tc>
          <w:tcPr>
            <w:tcW w:type="dxa" w:w="1890"/>
          </w:tcPr>
          <w:p/>
        </w:tc>
      </w:tr>
      <w:tr>
        <w:tc>
          <w:tcPr>
            <w:tcW w:type="dxa" w:w="540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Record Number of Labels Used During Processing</w:t>
            </w:r>
          </w:p>
        </w:tc>
        <w:tc>
          <w:tcPr>
            <w:tcW w:type="dxa" w:w="2160"/>
          </w:tcPr>
          <w:p/>
        </w:tc>
        <w:tc>
          <w:tcPr>
            <w:tcW w:type="dxa" w:w="324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Labels</w:t>
            </w:r>
          </w:p>
        </w:tc>
        <w:tc>
          <w:tcPr>
            <w:tcW w:type="dxa" w:w="1890"/>
          </w:tcPr>
          <w:p/>
        </w:tc>
        <w:tc>
          <w:tcPr>
            <w:tcW w:type="dxa" w:w="1890"/>
          </w:tcPr>
          <w:p/>
        </w:tc>
      </w:tr>
      <w:tr>
        <w:tc>
          <w:tcPr>
            <w:tcW w:type="dxa" w:w="540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Calculate: Label Accountability = Printed - Adhered - Used - Attached</w:t>
            </w:r>
          </w:p>
        </w:tc>
        <w:tc>
          <w:tcPr>
            <w:tcW w:type="dxa" w:w="2160"/>
          </w:tcPr>
          <w:p/>
        </w:tc>
        <w:tc>
          <w:tcPr>
            <w:tcW w:type="dxa" w:w="3240"/>
          </w:tcPr>
          <w:p/>
        </w:tc>
        <w:tc>
          <w:tcPr>
            <w:tcW w:type="dxa" w:w="1890"/>
          </w:tcPr>
          <w:p/>
        </w:tc>
        <w:tc>
          <w:tcPr>
            <w:tcW w:type="dxa" w:w="1890"/>
          </w:tcPr>
          <w:p/>
        </w:tc>
      </w:tr>
    </w:tbl>
    <w:tbl>
      <w:tblPr>
        <w:tblLook w:firstColumn="1" w:firstRow="1" w:lastColumn="0" w:lastRow="0" w:noHBand="0" w:noVBand="1" w:val="04A0"/>
        <w:tblW w:w="1458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-5" w:type="dxa"/>
      </w:tblPr>
      <w:tblGrid>
        <w:gridCol w:w="2160"/>
        <w:gridCol w:w="9180"/>
        <w:gridCol w:w="3240"/>
      </w:tblGrid>
      <w:tr>
        <w:tc>
          <w:tcPr>
            <w:tcW w:type="dxa" w:w="14400"/>
            <w:gridSpan w:val="3"/>
            <w:shd w:val="clear" w:color="auto" w:fill="BFBFB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2"/>
              </w:rPr>
              <w:t xml:space="preserve">  Comments</w:t>
            </w:r>
          </w:p>
        </w:tc>
      </w:tr>
      <w:tr>
        <w:tc>
          <w:tcPr>
            <w:tcW w:type="dxa" w:w="216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Step Reference</w:t>
            </w:r>
          </w:p>
        </w:tc>
        <w:tc>
          <w:tcPr>
            <w:tcW w:type="dxa" w:w="918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Comments</w:t>
            </w:r>
          </w:p>
        </w:tc>
        <w:tc>
          <w:tcPr>
            <w:tcW w:type="dxa" w:w="324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Recorded By (Initials/Date)</w:t>
            </w:r>
          </w:p>
        </w:tc>
      </w:tr>
      <w:tr>
        <w:trPr>
          <w:trHeight w:val="504" w:hRule="atLeast"/>
        </w:trPr>
        <w:tc>
          <w:tcPr>
            <w:tcW w:type="dxa" w:w="2160"/>
            <w:vAlign w:val="top"/>
          </w:tcPr>
          <w:p/>
        </w:tc>
        <w:tc>
          <w:tcPr>
            <w:tcW w:type="dxa" w:w="9180"/>
            <w:vAlign w:val="top"/>
          </w:tcPr>
          <w:p>
            <w:pPr>
              <w:spacing w:before="60" w:after="60"/>
            </w:pPr>
            <w:r>
              <w:t>☐</w:t>
            </w:r>
            <w:r>
              <w:rPr>
                <w:rFonts w:ascii="Calibri" w:hAnsi="Calibri"/>
                <w:sz w:val="20"/>
              </w:rPr>
              <w:t xml:space="preserve"> N/A</w:t>
            </w:r>
          </w:p>
        </w:tc>
        <w:tc>
          <w:tcPr>
            <w:tcW w:type="dxa" w:w="3240"/>
            <w:vAlign w:val="top"/>
          </w:tcPr>
          <w:p/>
        </w:tc>
      </w:tr>
      <w:tr>
        <w:trPr>
          <w:trHeight w:val="504" w:hRule="atLeast"/>
        </w:trPr>
        <w:tc>
          <w:tcPr>
            <w:tcW w:type="dxa" w:w="2160"/>
            <w:vAlign w:val="top"/>
          </w:tcPr>
          <w:p/>
        </w:tc>
        <w:tc>
          <w:tcPr>
            <w:tcW w:type="dxa" w:w="9180"/>
            <w:vAlign w:val="top"/>
          </w:tcPr>
          <w:p>
            <w:pPr>
              <w:spacing w:before="60" w:after="60"/>
            </w:pPr>
            <w:r>
              <w:t>☐</w:t>
            </w:r>
            <w:r>
              <w:rPr>
                <w:rFonts w:ascii="Calibri" w:hAnsi="Calibri"/>
                <w:sz w:val="20"/>
              </w:rPr>
              <w:t xml:space="preserve"> N/A</w:t>
            </w:r>
          </w:p>
        </w:tc>
        <w:tc>
          <w:tcPr>
            <w:tcW w:type="dxa" w:w="3240"/>
            <w:vAlign w:val="top"/>
          </w:tcPr>
          <w:p/>
        </w:tc>
      </w:tr>
      <w:tr>
        <w:trPr>
          <w:trHeight w:val="504" w:hRule="atLeast"/>
        </w:trPr>
        <w:tc>
          <w:tcPr>
            <w:tcW w:type="dxa" w:w="2160"/>
            <w:vAlign w:val="top"/>
          </w:tcPr>
          <w:p/>
        </w:tc>
        <w:tc>
          <w:tcPr>
            <w:tcW w:type="dxa" w:w="9180"/>
            <w:vAlign w:val="top"/>
          </w:tcPr>
          <w:p>
            <w:pPr>
              <w:spacing w:before="60" w:after="60"/>
            </w:pPr>
            <w:r>
              <w:t>☐</w:t>
            </w:r>
            <w:r>
              <w:rPr>
                <w:rFonts w:ascii="Calibri" w:hAnsi="Calibri"/>
                <w:sz w:val="20"/>
              </w:rPr>
              <w:t xml:space="preserve"> N/A</w:t>
            </w:r>
          </w:p>
        </w:tc>
        <w:tc>
          <w:tcPr>
            <w:tcW w:type="dxa" w:w="3240"/>
            <w:vAlign w:val="top"/>
          </w:tcPr>
          <w:p/>
        </w:tc>
      </w:tr>
      <w:tr>
        <w:trPr>
          <w:trHeight w:val="504" w:hRule="atLeast"/>
        </w:trPr>
        <w:tc>
          <w:tcPr>
            <w:tcW w:type="dxa" w:w="2160"/>
            <w:vAlign w:val="top"/>
          </w:tcPr>
          <w:p/>
        </w:tc>
        <w:tc>
          <w:tcPr>
            <w:tcW w:type="dxa" w:w="9180"/>
            <w:vAlign w:val="top"/>
          </w:tcPr>
          <w:p>
            <w:pPr>
              <w:spacing w:before="60" w:after="60"/>
            </w:pPr>
            <w:r>
              <w:t>☐</w:t>
            </w:r>
            <w:r>
              <w:rPr>
                <w:rFonts w:ascii="Calibri" w:hAnsi="Calibri"/>
                <w:sz w:val="20"/>
              </w:rPr>
              <w:t xml:space="preserve"> N/A</w:t>
            </w:r>
          </w:p>
        </w:tc>
        <w:tc>
          <w:tcPr>
            <w:tcW w:type="dxa" w:w="3240"/>
            <w:vAlign w:val="top"/>
          </w:tcPr>
          <w:p/>
        </w:tc>
      </w:tr>
    </w:tbl>
    <w:tbl>
      <w:tblPr>
        <w:tblLook w:firstColumn="1" w:firstRow="1" w:lastColumn="0" w:lastRow="0" w:noHBand="0" w:noVBand="1" w:val="04A0"/>
        <w:tblW w:w="1458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-5" w:type="dxa"/>
      </w:tblPr>
      <w:tblGrid>
        <w:gridCol w:w="14580"/>
      </w:tblGrid>
      <w:tr>
        <w:tc>
          <w:tcPr>
            <w:tcW w:type="dxa" w:w="14400"/>
            <w:shd w:val="clear" w:color="auto" w:fill="BFBFB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2"/>
              </w:rPr>
              <w:t xml:space="preserve">  MANUFACTURING REVIEW</w:t>
            </w:r>
          </w:p>
        </w:tc>
      </w:tr>
      <w:tr>
        <w:tc>
          <w:tcPr>
            <w:tcW w:type="dxa" w:w="14580"/>
            <w:shd w:val="clear" w:color="auto" w:fill="F2F2F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Review Checklist</w:t>
            </w:r>
          </w:p>
        </w:tc>
      </w:tr>
      <w:tr>
        <w:tc>
          <w:tcPr>
            <w:tcW w:type="dxa" w:w="14580"/>
          </w:tcPr>
          <w:p>
            <w:pPr>
              <w:spacing w:before="40" w:after="40"/>
            </w:pPr>
            <w:r>
              <w:t>☐</w:t>
            </w:r>
            <w:r>
              <w:rPr>
                <w:rFonts w:ascii="Calibri" w:hAnsi="Calibri"/>
                <w:sz w:val="20"/>
              </w:rPr>
              <w:t xml:space="preserve">  Label and if applicable expiration date are correct</w:t>
            </w:r>
          </w:p>
        </w:tc>
      </w:tr>
      <w:tr>
        <w:tc>
          <w:tcPr>
            <w:tcW w:type="dxa" w:w="14580"/>
          </w:tcPr>
          <w:p>
            <w:pPr>
              <w:spacing w:before="40" w:after="40"/>
            </w:pPr>
            <w:r>
              <w:t>☐</w:t>
            </w:r>
            <w:r>
              <w:rPr>
                <w:rFonts w:ascii="Calibri" w:hAnsi="Calibri"/>
                <w:sz w:val="20"/>
              </w:rPr>
              <w:t xml:space="preserve">  Equipment recorded</w:t>
            </w:r>
          </w:p>
        </w:tc>
      </w:tr>
      <w:tr>
        <w:tc>
          <w:tcPr>
            <w:tcW w:type="dxa" w:w="14580"/>
          </w:tcPr>
          <w:p>
            <w:pPr>
              <w:spacing w:before="40" w:after="40"/>
            </w:pPr>
            <w:r>
              <w:t>☐</w:t>
            </w:r>
            <w:r>
              <w:rPr>
                <w:rFonts w:ascii="Calibri" w:hAnsi="Calibri"/>
                <w:sz w:val="20"/>
              </w:rPr>
              <w:t xml:space="preserve">  All processing steps completed</w:t>
            </w:r>
          </w:p>
        </w:tc>
      </w:tr>
      <w:tr>
        <w:tc>
          <w:tcPr>
            <w:tcW w:type="dxa" w:w="14580"/>
          </w:tcPr>
          <w:p>
            <w:pPr>
              <w:spacing w:before="40" w:after="40"/>
            </w:pPr>
            <w:r>
              <w:t>☐</w:t>
            </w:r>
            <w:r>
              <w:rPr>
                <w:rFonts w:ascii="Calibri" w:hAnsi="Calibri"/>
                <w:sz w:val="20"/>
              </w:rPr>
              <w:t xml:space="preserve">  Calculations checked</w:t>
            </w:r>
          </w:p>
        </w:tc>
      </w:tr>
      <w:tr>
        <w:tc>
          <w:tcPr>
            <w:tcW w:type="dxa" w:w="14580"/>
          </w:tcPr>
          <w:p>
            <w:pPr>
              <w:spacing w:before="40" w:after="40"/>
            </w:pPr>
            <w:r>
              <w:t>☐</w:t>
            </w:r>
            <w:r>
              <w:rPr>
                <w:rFonts w:ascii="Calibri" w:hAnsi="Calibri"/>
                <w:sz w:val="20"/>
              </w:rPr>
              <w:t xml:space="preserve">  Deviations identified and documented</w:t>
            </w:r>
          </w:p>
        </w:tc>
      </w:tr>
      <w:tr>
        <w:tc>
          <w:tcPr>
            <w:tcW w:type="dxa" w:w="14580"/>
          </w:tcPr>
          <w:p>
            <w:pPr>
              <w:spacing w:before="40" w:after="40"/>
            </w:pPr>
            <w:r>
              <w:t>☐</w:t>
            </w:r>
            <w:r>
              <w:rPr>
                <w:rFonts w:ascii="Calibri" w:hAnsi="Calibri"/>
                <w:sz w:val="20"/>
              </w:rPr>
              <w:t xml:space="preserve">  Material consumption in Title 21 reviewed</w:t>
            </w:r>
          </w:p>
        </w:tc>
      </w:tr>
      <w:tr>
        <w:tc>
          <w:tcPr>
            <w:tcW w:type="dxa" w:w="1458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 xml:space="preserve">Manufacturing Review Reviewer Comments:  </w:t>
            </w:r>
            <w:r>
              <w:t>☐</w:t>
            </w:r>
            <w:r>
              <w:rPr>
                <w:rFonts w:ascii="Calibri" w:hAnsi="Calibri"/>
                <w:sz w:val="20"/>
              </w:rPr>
              <w:t xml:space="preserve">  N/A</w:t>
            </w:r>
          </w:p>
        </w:tc>
      </w:tr>
      <w:tr>
        <w:trPr>
          <w:trHeight w:val="504" w:hRule="atLeast"/>
        </w:trPr>
        <w:tc>
          <w:tcPr>
            <w:tcW w:type="dxa" w:w="1458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 xml:space="preserve">Manufacturing Review Review Signature/Date: </w:t>
            </w:r>
          </w:p>
        </w:tc>
      </w:tr>
    </w:tbl>
    <w:tbl>
      <w:tblPr>
        <w:tblLook w:firstColumn="1" w:firstRow="1" w:lastColumn="0" w:lastRow="0" w:noHBand="0" w:noVBand="1" w:val="04A0"/>
        <w:tblW w:w="1458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-5" w:type="dxa"/>
      </w:tblPr>
      <w:tblGrid>
        <w:gridCol w:w="14580"/>
      </w:tblGrid>
      <w:tr>
        <w:tc>
          <w:tcPr>
            <w:tcW w:type="dxa" w:w="14400"/>
            <w:shd w:val="clear" w:color="auto" w:fill="BFBFB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2"/>
              </w:rPr>
              <w:t xml:space="preserve">  QUALITY ASSURANCE REVIEW (Refer to QA-005)</w:t>
            </w:r>
          </w:p>
        </w:tc>
      </w:tr>
      <w:tr>
        <w:tc>
          <w:tcPr>
            <w:tcW w:type="dxa" w:w="1458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 xml:space="preserve">Quality Assurance Review (Refer To Qa-005) Reviewer Comments:  </w:t>
            </w:r>
            <w:r>
              <w:t>☐</w:t>
            </w:r>
            <w:r>
              <w:rPr>
                <w:rFonts w:ascii="Calibri" w:hAnsi="Calibri"/>
                <w:sz w:val="20"/>
              </w:rPr>
              <w:t xml:space="preserve">  N/A</w:t>
            </w:r>
          </w:p>
        </w:tc>
      </w:tr>
      <w:tr>
        <w:trPr>
          <w:trHeight w:val="504" w:hRule="atLeast"/>
        </w:trPr>
        <w:tc>
          <w:tcPr>
            <w:tcW w:type="dxa" w:w="1458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 xml:space="preserve">Quality Assurance Review (Refer To Qa-005) Review Signature/Date: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1080" w:right="720" w:bottom="720" w:left="720" w:header="1080" w:footer="1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auto"/>
      </w:pBdr>
      <w:spacing w:before="40"/>
    </w:pPr>
    <w:r>
      <w:rPr>
        <w:rFonts w:ascii="Calibri" w:hAnsi="Calibri"/>
        <w:b/>
        <w:sz w:val="16"/>
      </w:rP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Look w:firstColumn="1" w:firstRow="1" w:lastColumn="0" w:lastRow="0" w:noHBand="0" w:noVBand="1" w:val="04A0"/>
      <w:tblW w:w="14598" w:type="dxa"/>
      <w:tblLayout w:type="fixed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Grid>
      <w:gridCol w:w="775"/>
      <w:gridCol w:w="1493"/>
      <w:gridCol w:w="5377"/>
      <w:gridCol w:w="2520"/>
      <w:gridCol w:w="1440"/>
      <w:gridCol w:w="2993"/>
    </w:tblGrid>
    <w:tr>
      <w:trPr>
        <w:trHeight w:val="288" w:hRule="exact"/>
        <w:cantSplit/>
      </w:trPr>
      <w:tc>
        <w:tcPr>
          <w:tcW w:type="dxa" w:w="2433"/>
          <w:vMerge w:val="restart"/>
          <w:vAlign w:val="center"/>
          <w:gridSpan w:val="2"/>
        </w:tcPr>
        <w:p>
          <w:r>
            <w:rPr>
              <w:color w:val="999999"/>
              <w:sz w:val="16"/>
            </w:rPr>
            <w:t>[LOGO]</w:t>
          </w:r>
        </w:p>
      </w:tc>
      <w:tc>
        <w:tcPr>
          <w:tcW w:type="dxa" w:w="2433"/>
          <w:vMerge w:val="restart"/>
          <w:vAlign w:val="center"/>
        </w:tcPr>
        <w:p>
          <w:pPr>
            <w:jc w:val="center"/>
          </w:pPr>
          <w:r>
            <w:rPr>
              <w:rFonts w:ascii="Calibri" w:hAnsi="Calibri"/>
              <w:b/>
              <w:sz w:val="24"/>
            </w:rPr>
            <w:t>CD4 ENRICHMENT</w:t>
          </w:r>
        </w:p>
      </w:tc>
      <w:tc>
        <w:tcPr>
          <w:tcW w:type="dxa" w:w="2433"/>
          <w:vAlign w:val="center"/>
        </w:tcPr>
        <w:p>
          <w:r>
            <w:rPr>
              <w:rFonts w:ascii="Calibri" w:hAnsi="Calibri"/>
              <w:sz w:val="20"/>
            </w:rP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end"/>
          </w:r>
          <w:r>
            <w:rPr>
              <w:sz w:val="20"/>
            </w:rP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end"/>
          </w:r>
        </w:p>
      </w:tc>
      <w:tc>
        <w:tcPr>
          <w:tcW w:type="dxa" w:w="2433"/>
          <w:vAlign w:val="center"/>
        </w:tcPr>
        <w:p>
          <w:r>
            <w:rPr>
              <w:rFonts w:ascii="Calibri" w:hAnsi="Calibri"/>
              <w:sz w:val="20"/>
            </w:rPr>
            <w:t>Document No:</w:t>
          </w:r>
        </w:p>
      </w:tc>
      <w:tc>
        <w:tcPr>
          <w:tcW w:type="dxa" w:w="2433"/>
          <w:vAlign w:val="center"/>
        </w:tcPr>
        <w:p>
          <w:r>
            <w:rPr>
              <w:rFonts w:ascii="Calibri" w:hAnsi="Calibri"/>
              <w:sz w:val="20"/>
            </w:rPr>
            <w:t>BR-B5330157</w:t>
          </w:r>
        </w:p>
      </w:tc>
      <w:tc>
        <w:tcPr>
          <w:tcW w:type="dxa" w:w="2433"/>
          <w:vMerge/>
        </w:tcPr>
        <w:p/>
      </w:tc>
    </w:tr>
    <w:tr>
      <w:trPr>
        <w:trHeight w:val="288" w:hRule="exact"/>
        <w:cantSplit/>
      </w:trPr>
      <w:tc>
        <w:tcPr>
          <w:tcW w:type="dxa" w:w="2433"/>
        </w:tcPr>
        <w:p/>
      </w:tc>
      <w:tc>
        <w:tcPr>
          <w:tcW w:type="dxa" w:w="2433"/>
          <w:vMerge/>
        </w:tcPr>
        <w:p/>
      </w:tc>
      <w:tc>
        <w:tcPr>
          <w:tcW w:type="dxa" w:w="2433"/>
          <w:vAlign w:val="center"/>
        </w:tcPr>
        <w:p>
          <w:r>
            <w:rPr>
              <w:sz w:val="20"/>
            </w:rPr>
            <w:t>Production ID:</w:t>
          </w:r>
        </w:p>
      </w:tc>
      <w:tc>
        <w:tcPr>
          <w:tcW w:type="dxa" w:w="2433"/>
          <w:vAlign w:val="center"/>
        </w:tcPr>
        <w:p>
          <w:r>
            <w:rPr>
              <w:sz w:val="20"/>
            </w:rPr>
            <w:t>Effective Date:</w:t>
          </w:r>
        </w:p>
      </w:tc>
      <w:tc>
        <w:tcPr>
          <w:tcW w:type="dxa" w:w="2433"/>
          <w:vAlign w:val="center"/>
        </w:tcPr>
        <w:p>
          <w:r>
            <w:rPr>
              <w:sz w:val="20"/>
            </w:rPr>
            <w:t>05APR2026</w:t>
          </w:r>
        </w:p>
      </w:tc>
      <w:tc>
        <w:tcPr>
          <w:tcW w:type="dxa" w:w="2433"/>
          <w:vMerge/>
        </w:tcPr>
        <w:p/>
      </w:tc>
    </w:tr>
    <w:tr>
      <w:trPr>
        <w:trHeight w:val="288" w:hRule="exact"/>
        <w:cantSplit/>
      </w:trPr>
      <w:tc>
        <w:tcPr>
          <w:tcW w:type="dxa" w:w="2433"/>
        </w:tcPr>
        <w:p/>
      </w:tc>
      <w:tc>
        <w:tcPr>
          <w:tcW w:type="dxa" w:w="2433"/>
          <w:vMerge/>
        </w:tcPr>
        <w:p/>
      </w:tc>
      <w:tc>
        <w:tcPr>
          <w:tcW w:type="dxa" w:w="2433"/>
          <w:vAlign w:val="center"/>
        </w:tcPr>
        <w:p>
          <w:r>
            <w:rPr>
              <w:sz w:val="20"/>
            </w:rPr>
            <w:t>Lot Number:</w:t>
          </w:r>
        </w:p>
      </w:tc>
      <w:tc>
        <w:tcPr>
          <w:tcW w:type="dxa" w:w="2433"/>
          <w:vAlign w:val="center"/>
        </w:tcPr>
        <w:p>
          <w:r>
            <w:rPr>
              <w:sz w:val="20"/>
            </w:rPr>
            <w:t>Revision No:</w:t>
          </w:r>
        </w:p>
      </w:tc>
      <w:tc>
        <w:tcPr>
          <w:tcW w:type="dxa" w:w="2433"/>
          <w:vAlign w:val="center"/>
        </w:tcPr>
        <w:p>
          <w:r>
            <w:rPr>
              <w:sz w:val="20"/>
            </w:rPr>
            <w:t>01</w:t>
          </w:r>
        </w:p>
      </w:tc>
      <w:tc>
        <w:tcPr>
          <w:tcW w:type="dxa" w:w="2433"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